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CFDD4" w14:textId="198AEFC4" w:rsidR="00AE1986" w:rsidRDefault="00AE1986" w:rsidP="00AE1986">
      <w:pPr>
        <w:tabs>
          <w:tab w:val="left" w:pos="1073"/>
        </w:tabs>
        <w:jc w:val="center"/>
        <w:rPr>
          <w:rFonts w:ascii="Verdana" w:hAnsi="Verdana"/>
          <w:b/>
          <w:bCs/>
          <w:color w:val="404040" w:themeColor="text1" w:themeTint="BF"/>
          <w:sz w:val="68"/>
          <w:szCs w:val="68"/>
        </w:rPr>
      </w:pPr>
    </w:p>
    <w:p w14:paraId="021CF724" w14:textId="77777777" w:rsidR="00283188" w:rsidRDefault="00283188" w:rsidP="00AE1986">
      <w:pPr>
        <w:tabs>
          <w:tab w:val="left" w:pos="1073"/>
        </w:tabs>
        <w:jc w:val="center"/>
        <w:rPr>
          <w:rFonts w:ascii="Verdana" w:hAnsi="Verdana"/>
          <w:b/>
          <w:bCs/>
          <w:color w:val="404040" w:themeColor="text1" w:themeTint="BF"/>
          <w:sz w:val="68"/>
          <w:szCs w:val="68"/>
        </w:rPr>
      </w:pPr>
    </w:p>
    <w:p w14:paraId="21826E28" w14:textId="18C0142F" w:rsidR="00AE1986" w:rsidRDefault="00AE1986" w:rsidP="00AE1986">
      <w:pPr>
        <w:tabs>
          <w:tab w:val="left" w:pos="1073"/>
        </w:tabs>
        <w:jc w:val="center"/>
        <w:rPr>
          <w:rFonts w:ascii="Verdana" w:hAnsi="Verdana"/>
          <w:b/>
          <w:bCs/>
          <w:color w:val="404040" w:themeColor="text1" w:themeTint="BF"/>
          <w:sz w:val="68"/>
          <w:szCs w:val="68"/>
        </w:rPr>
      </w:pPr>
    </w:p>
    <w:p w14:paraId="6D135156" w14:textId="6DFF8C97" w:rsidR="00F74310" w:rsidRPr="00F74310" w:rsidRDefault="00F74310" w:rsidP="00F74310">
      <w:pPr>
        <w:tabs>
          <w:tab w:val="left" w:pos="1073"/>
        </w:tabs>
        <w:jc w:val="center"/>
        <w:rPr>
          <w:rFonts w:ascii="Verdana" w:hAnsi="Verdana"/>
          <w:b/>
          <w:bCs/>
          <w:color w:val="404040" w:themeColor="text1" w:themeTint="BF"/>
          <w:sz w:val="68"/>
          <w:szCs w:val="68"/>
        </w:rPr>
      </w:pPr>
      <w:r w:rsidRPr="00F74310">
        <w:rPr>
          <w:rFonts w:ascii="Verdana" w:hAnsi="Verdana"/>
          <w:b/>
          <w:bCs/>
          <w:color w:val="404040" w:themeColor="text1" w:themeTint="BF"/>
          <w:sz w:val="68"/>
          <w:szCs w:val="68"/>
        </w:rPr>
        <w:t xml:space="preserve">Children and Young People (CYP) Fund </w:t>
      </w:r>
    </w:p>
    <w:p w14:paraId="23C8BA97" w14:textId="70A63427" w:rsidR="00AE1986" w:rsidRPr="00E34552" w:rsidRDefault="00AE1986" w:rsidP="00AE1986">
      <w:pPr>
        <w:tabs>
          <w:tab w:val="left" w:pos="1073"/>
        </w:tabs>
        <w:jc w:val="center"/>
        <w:rPr>
          <w:rFonts w:ascii="Verdana" w:hAnsi="Verdana"/>
          <w:b/>
          <w:bCs/>
          <w:color w:val="404040" w:themeColor="text1" w:themeTint="BF"/>
          <w:sz w:val="68"/>
          <w:szCs w:val="68"/>
        </w:rPr>
      </w:pPr>
    </w:p>
    <w:p w14:paraId="66AB0653" w14:textId="1867C0F1" w:rsidR="00AE1986" w:rsidRPr="003044A1" w:rsidRDefault="00AE1986" w:rsidP="00AE1986">
      <w:pPr>
        <w:tabs>
          <w:tab w:val="left" w:pos="1073"/>
        </w:tabs>
        <w:jc w:val="center"/>
        <w:rPr>
          <w:rFonts w:ascii="Verdana" w:hAnsi="Verdana"/>
          <w:b/>
          <w:bCs/>
          <w:color w:val="404040" w:themeColor="text1" w:themeTint="BF"/>
          <w:sz w:val="20"/>
        </w:rPr>
      </w:pPr>
    </w:p>
    <w:p w14:paraId="307A4834" w14:textId="22FDD72A" w:rsidR="00F74310" w:rsidRDefault="00F74310" w:rsidP="00F74310">
      <w:pPr>
        <w:tabs>
          <w:tab w:val="left" w:pos="1073"/>
        </w:tabs>
        <w:jc w:val="center"/>
        <w:rPr>
          <w:rFonts w:ascii="Verdana" w:hAnsi="Verdana"/>
          <w:color w:val="404040"/>
          <w:sz w:val="36"/>
          <w:szCs w:val="36"/>
        </w:rPr>
      </w:pPr>
    </w:p>
    <w:p w14:paraId="021EAD95" w14:textId="5F63E1EB" w:rsidR="00F74310" w:rsidRPr="00F74310" w:rsidRDefault="00F74310" w:rsidP="00F74310">
      <w:pPr>
        <w:tabs>
          <w:tab w:val="left" w:pos="1073"/>
        </w:tabs>
        <w:jc w:val="center"/>
        <w:rPr>
          <w:rFonts w:ascii="Verdana" w:hAnsi="Verdana"/>
          <w:color w:val="404040"/>
          <w:sz w:val="36"/>
          <w:szCs w:val="36"/>
        </w:rPr>
      </w:pPr>
      <w:r w:rsidRPr="00F74310">
        <w:rPr>
          <w:rFonts w:ascii="Verdana" w:hAnsi="Verdana"/>
          <w:color w:val="404040"/>
          <w:sz w:val="36"/>
          <w:szCs w:val="36"/>
        </w:rPr>
        <w:t>G</w:t>
      </w:r>
      <w:r>
        <w:rPr>
          <w:rFonts w:ascii="Verdana" w:hAnsi="Verdana"/>
          <w:color w:val="404040"/>
          <w:sz w:val="36"/>
          <w:szCs w:val="36"/>
        </w:rPr>
        <w:t>uidelines for Applications and Criteria for Grants</w:t>
      </w:r>
    </w:p>
    <w:p w14:paraId="501136BF" w14:textId="6DF5CF39" w:rsidR="00AE1986" w:rsidRPr="00E34552" w:rsidRDefault="00AE1986" w:rsidP="00AE1986">
      <w:pPr>
        <w:tabs>
          <w:tab w:val="left" w:pos="1073"/>
        </w:tabs>
        <w:jc w:val="center"/>
        <w:rPr>
          <w:rFonts w:ascii="Verdana" w:hAnsi="Verdana"/>
          <w:color w:val="404040" w:themeColor="text1" w:themeTint="BF"/>
          <w:sz w:val="36"/>
          <w:szCs w:val="36"/>
        </w:rPr>
      </w:pPr>
    </w:p>
    <w:p w14:paraId="183116A2" w14:textId="3EDB99F8" w:rsidR="0031033E" w:rsidRDefault="0031033E" w:rsidP="00AE1986">
      <w:pPr>
        <w:tabs>
          <w:tab w:val="left" w:pos="1073"/>
        </w:tabs>
        <w:spacing w:after="240"/>
        <w:rPr>
          <w:rFonts w:ascii="Verdana" w:hAnsi="Verdana"/>
          <w:b/>
          <w:bCs/>
          <w:sz w:val="40"/>
          <w:szCs w:val="40"/>
        </w:rPr>
      </w:pPr>
    </w:p>
    <w:p w14:paraId="3FDAD0AD" w14:textId="51A1AC01" w:rsidR="00F74310" w:rsidRDefault="00F74310" w:rsidP="0031033E">
      <w:pPr>
        <w:tabs>
          <w:tab w:val="left" w:pos="1073"/>
        </w:tabs>
        <w:spacing w:after="240"/>
        <w:rPr>
          <w:rFonts w:ascii="Verdana" w:hAnsi="Verdana"/>
          <w:b/>
          <w:bCs/>
          <w:sz w:val="40"/>
          <w:szCs w:val="40"/>
        </w:rPr>
      </w:pPr>
      <w:r>
        <w:rPr>
          <w:rFonts w:ascii="Verdana" w:hAnsi="Verdana"/>
          <w:b/>
          <w:bCs/>
          <w:sz w:val="40"/>
          <w:szCs w:val="40"/>
        </w:rPr>
        <w:t xml:space="preserve">         </w:t>
      </w:r>
      <w:r w:rsidR="003A5890" w:rsidRPr="00F74310">
        <w:rPr>
          <w:rFonts w:ascii="Cambria" w:eastAsia="MS Mincho" w:hAnsi="Cambria" w:cs="Times New Roman"/>
          <w:noProof/>
          <w:sz w:val="24"/>
          <w:szCs w:val="24"/>
          <w:lang w:val="en-US"/>
        </w:rPr>
        <w:drawing>
          <wp:anchor distT="0" distB="0" distL="114300" distR="114300" simplePos="0" relativeHeight="251660288" behindDoc="1" locked="0" layoutInCell="1" allowOverlap="1" wp14:anchorId="6E21162D" wp14:editId="51CA7439">
            <wp:simplePos x="0" y="0"/>
            <wp:positionH relativeFrom="margin">
              <wp:align>center</wp:align>
            </wp:positionH>
            <wp:positionV relativeFrom="paragraph">
              <wp:posOffset>141888</wp:posOffset>
            </wp:positionV>
            <wp:extent cx="1589650" cy="1530038"/>
            <wp:effectExtent l="0" t="0" r="0" b="0"/>
            <wp:wrapNone/>
            <wp:docPr id="6" name="Picture 6" descr="colyer fergus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yer fergus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9650" cy="15300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8300AF" w14:textId="3D47FAB5" w:rsidR="00F74310" w:rsidRDefault="00F74310" w:rsidP="0031033E">
      <w:pPr>
        <w:tabs>
          <w:tab w:val="left" w:pos="1073"/>
        </w:tabs>
        <w:spacing w:after="240"/>
        <w:rPr>
          <w:rFonts w:ascii="Verdana" w:hAnsi="Verdana"/>
          <w:b/>
          <w:bCs/>
          <w:sz w:val="40"/>
          <w:szCs w:val="40"/>
        </w:rPr>
      </w:pPr>
    </w:p>
    <w:p w14:paraId="28F6CA4D" w14:textId="238E2381" w:rsidR="00D13EED" w:rsidRDefault="00D13EED" w:rsidP="0031033E">
      <w:pPr>
        <w:tabs>
          <w:tab w:val="left" w:pos="1073"/>
        </w:tabs>
        <w:spacing w:after="240"/>
        <w:rPr>
          <w:rFonts w:ascii="Verdana" w:hAnsi="Verdana"/>
          <w:b/>
          <w:bCs/>
          <w:sz w:val="40"/>
          <w:szCs w:val="40"/>
        </w:rPr>
      </w:pPr>
    </w:p>
    <w:p w14:paraId="1EF4CBDB" w14:textId="303D48AE" w:rsidR="003A5890" w:rsidRDefault="003A5890" w:rsidP="0031033E">
      <w:pPr>
        <w:tabs>
          <w:tab w:val="left" w:pos="1073"/>
        </w:tabs>
        <w:spacing w:after="240"/>
        <w:rPr>
          <w:rFonts w:ascii="Verdana" w:hAnsi="Verdana"/>
          <w:b/>
          <w:bCs/>
          <w:sz w:val="40"/>
          <w:szCs w:val="40"/>
        </w:rPr>
      </w:pPr>
    </w:p>
    <w:p w14:paraId="3A1A16ED" w14:textId="42509049" w:rsidR="003A5890" w:rsidRDefault="003A5890" w:rsidP="0031033E">
      <w:pPr>
        <w:tabs>
          <w:tab w:val="left" w:pos="1073"/>
        </w:tabs>
        <w:spacing w:after="240"/>
        <w:rPr>
          <w:rFonts w:ascii="Verdana" w:hAnsi="Verdana"/>
          <w:b/>
          <w:bCs/>
          <w:sz w:val="40"/>
          <w:szCs w:val="40"/>
        </w:rPr>
      </w:pPr>
    </w:p>
    <w:p w14:paraId="27BC05E8" w14:textId="733B5066" w:rsidR="0074444E" w:rsidRDefault="0074444E" w:rsidP="0031033E">
      <w:pPr>
        <w:tabs>
          <w:tab w:val="left" w:pos="1073"/>
        </w:tabs>
        <w:spacing w:after="240"/>
        <w:rPr>
          <w:rFonts w:ascii="Verdana" w:hAnsi="Verdana"/>
          <w:b/>
          <w:bCs/>
          <w:sz w:val="40"/>
          <w:szCs w:val="40"/>
        </w:rPr>
      </w:pPr>
    </w:p>
    <w:p w14:paraId="45883EF5" w14:textId="16E4180B" w:rsidR="0074444E" w:rsidRDefault="0074444E" w:rsidP="0031033E">
      <w:pPr>
        <w:tabs>
          <w:tab w:val="left" w:pos="1073"/>
        </w:tabs>
        <w:spacing w:after="240"/>
        <w:rPr>
          <w:rFonts w:ascii="Verdana" w:hAnsi="Verdana"/>
          <w:b/>
          <w:bCs/>
          <w:sz w:val="40"/>
          <w:szCs w:val="40"/>
        </w:rPr>
      </w:pPr>
    </w:p>
    <w:p w14:paraId="7DAEBB8A" w14:textId="4610D64A" w:rsidR="00AE1986" w:rsidRPr="00D13EED" w:rsidRDefault="00AE1986" w:rsidP="00D13EED">
      <w:pPr>
        <w:tabs>
          <w:tab w:val="left" w:pos="1073"/>
        </w:tabs>
        <w:spacing w:after="240"/>
        <w:jc w:val="right"/>
        <w:rPr>
          <w:rFonts w:ascii="Verdana" w:hAnsi="Verdana"/>
          <w:sz w:val="20"/>
        </w:rPr>
      </w:pPr>
      <w:r w:rsidRPr="00F74310">
        <w:rPr>
          <w:rFonts w:ascii="Verdana" w:hAnsi="Verdana"/>
          <w:noProof/>
          <w:sz w:val="40"/>
          <w:szCs w:val="40"/>
        </w:rPr>
        <mc:AlternateContent>
          <mc:Choice Requires="wps">
            <w:drawing>
              <wp:anchor distT="0" distB="0" distL="114300" distR="114300" simplePos="0" relativeHeight="251659264" behindDoc="0" locked="0" layoutInCell="1" allowOverlap="1" wp14:anchorId="29716125" wp14:editId="70CE2DF0">
                <wp:simplePos x="0" y="0"/>
                <wp:positionH relativeFrom="column">
                  <wp:posOffset>-890905</wp:posOffset>
                </wp:positionH>
                <wp:positionV relativeFrom="paragraph">
                  <wp:posOffset>4833733</wp:posOffset>
                </wp:positionV>
                <wp:extent cx="7532251" cy="524717"/>
                <wp:effectExtent l="0" t="0" r="0" b="0"/>
                <wp:wrapNone/>
                <wp:docPr id="59" name="Text Box 59"/>
                <wp:cNvGraphicFramePr/>
                <a:graphic xmlns:a="http://schemas.openxmlformats.org/drawingml/2006/main">
                  <a:graphicData uri="http://schemas.microsoft.com/office/word/2010/wordprocessingShape">
                    <wps:wsp>
                      <wps:cNvSpPr txBox="1"/>
                      <wps:spPr>
                        <a:xfrm>
                          <a:off x="0" y="0"/>
                          <a:ext cx="7532251" cy="524717"/>
                        </a:xfrm>
                        <a:prstGeom prst="rect">
                          <a:avLst/>
                        </a:prstGeom>
                        <a:noFill/>
                        <a:ln w="6350">
                          <a:noFill/>
                        </a:ln>
                      </wps:spPr>
                      <wps:txbx>
                        <w:txbxContent>
                          <w:p w14:paraId="0799ABA6" w14:textId="77777777" w:rsidR="0031033E" w:rsidRDefault="0031033E" w:rsidP="00AE1986">
                            <w:pPr>
                              <w:jc w:val="center"/>
                              <w:rPr>
                                <w:rFonts w:ascii="Verdana" w:hAnsi="Verdana"/>
                                <w:color w:val="404040" w:themeColor="text1" w:themeTint="BF"/>
                                <w:sz w:val="20"/>
                              </w:rPr>
                            </w:pPr>
                          </w:p>
                          <w:p w14:paraId="07CA9FB1" w14:textId="767FD5E8" w:rsidR="00AE1986" w:rsidRPr="0074444E" w:rsidRDefault="00AE1986" w:rsidP="0031033E">
                            <w:pPr>
                              <w:ind w:left="8640" w:firstLine="720"/>
                              <w:rPr>
                                <w:color w:val="FF0000"/>
                              </w:rPr>
                            </w:pPr>
                            <w:r w:rsidRPr="0074444E">
                              <w:rPr>
                                <w:rFonts w:ascii="Verdana" w:hAnsi="Verdana"/>
                                <w:color w:val="FF0000"/>
                                <w:sz w:val="20"/>
                              </w:rPr>
                              <w:t>Date</w:t>
                            </w:r>
                            <w:r w:rsidR="0031033E" w:rsidRPr="0074444E">
                              <w:rPr>
                                <w:rFonts w:ascii="Verdana" w:hAnsi="Verdana"/>
                                <w:color w:val="FF0000"/>
                                <w:sz w:val="20"/>
                              </w:rPr>
                              <w:t>: May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716125" id="_x0000_t202" coordsize="21600,21600" o:spt="202" path="m,l,21600r21600,l21600,xe">
                <v:stroke joinstyle="miter"/>
                <v:path gradientshapeok="t" o:connecttype="rect"/>
              </v:shapetype>
              <v:shape id="Text Box 59" o:spid="_x0000_s1026" type="#_x0000_t202" style="position:absolute;left:0;text-align:left;margin-left:-70.15pt;margin-top:380.6pt;width:593.1pt;height:4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" filled="f" stroked="f" strokeweight=".5pt">
                <v:textbox>
                  <w:txbxContent>
                    <w:p w14:paraId="0799ABA6" w14:textId="77777777" w:rsidR="0031033E" w:rsidRDefault="0031033E" w:rsidP="00AE1986">
                      <w:pPr>
                        <w:jc w:val="center"/>
                        <w:rPr>
                          <w:rFonts w:ascii="Verdana" w:hAnsi="Verdana"/>
                          <w:color w:val="404040" w:themeColor="text1" w:themeTint="BF"/>
                          <w:sz w:val="20"/>
                        </w:rPr>
                      </w:pPr>
                    </w:p>
                    <w:p w14:paraId="07CA9FB1" w14:textId="767FD5E8" w:rsidR="00AE1986" w:rsidRPr="0074444E" w:rsidRDefault="00AE1986" w:rsidP="0031033E">
                      <w:pPr>
                        <w:ind w:left="8640" w:firstLine="720"/>
                        <w:rPr>
                          <w:color w:val="FF0000"/>
                        </w:rPr>
                      </w:pPr>
                      <w:r w:rsidRPr="0074444E">
                        <w:rPr>
                          <w:rFonts w:ascii="Verdana" w:hAnsi="Verdana"/>
                          <w:color w:val="FF0000"/>
                          <w:sz w:val="20"/>
                        </w:rPr>
                        <w:t>Date</w:t>
                      </w:r>
                      <w:r w:rsidR="0031033E" w:rsidRPr="0074444E">
                        <w:rPr>
                          <w:rFonts w:ascii="Verdana" w:hAnsi="Verdana"/>
                          <w:color w:val="FF0000"/>
                          <w:sz w:val="20"/>
                        </w:rPr>
                        <w:t>: May 2021</w:t>
                      </w:r>
                    </w:p>
                  </w:txbxContent>
                </v:textbox>
              </v:shape>
            </w:pict>
          </mc:Fallback>
        </mc:AlternateContent>
      </w:r>
      <w:r w:rsidR="00D13EED" w:rsidRPr="00F74310">
        <w:rPr>
          <w:rFonts w:ascii="Verdana" w:hAnsi="Verdana"/>
          <w:sz w:val="20"/>
        </w:rPr>
        <w:t>Cheryl Trice</w:t>
      </w:r>
      <w:r w:rsidR="00964AA5">
        <w:rPr>
          <w:rFonts w:ascii="Verdana" w:hAnsi="Verdana"/>
          <w:sz w:val="20"/>
        </w:rPr>
        <w:t>, Laura Webster,</w:t>
      </w:r>
      <w:r w:rsidR="00D13EED" w:rsidRPr="00F74310">
        <w:rPr>
          <w:rFonts w:ascii="Verdana" w:hAnsi="Verdana"/>
          <w:sz w:val="20"/>
        </w:rPr>
        <w:t xml:space="preserve"> Sarah Cabella.  Diocese Children and Young People Team </w:t>
      </w:r>
      <w:r w:rsidR="00D13EED" w:rsidRPr="00F74310">
        <w:rPr>
          <w:rFonts w:ascii="Verdana" w:hAnsi="Verdana"/>
          <w:sz w:val="20"/>
        </w:rPr>
        <w:br/>
        <w:t>Updated J</w:t>
      </w:r>
      <w:r w:rsidR="00964AA5">
        <w:rPr>
          <w:rFonts w:ascii="Verdana" w:hAnsi="Verdana"/>
          <w:sz w:val="20"/>
        </w:rPr>
        <w:t>uly</w:t>
      </w:r>
      <w:r w:rsidR="00D13EED" w:rsidRPr="00F74310">
        <w:rPr>
          <w:rFonts w:ascii="Verdana" w:hAnsi="Verdana"/>
          <w:sz w:val="20"/>
        </w:rPr>
        <w:t xml:space="preserve"> 2021.  January 201</w:t>
      </w:r>
      <w:r w:rsidR="00D13EED">
        <w:rPr>
          <w:rFonts w:ascii="Verdana" w:hAnsi="Verdana"/>
          <w:sz w:val="20"/>
        </w:rPr>
        <w:t>8</w:t>
      </w:r>
      <w:r w:rsidRPr="00F74310">
        <w:rPr>
          <w:rFonts w:ascii="Verdana" w:hAnsi="Verdana"/>
          <w:sz w:val="40"/>
          <w:szCs w:val="40"/>
        </w:rPr>
        <w:br w:type="page"/>
      </w:r>
    </w:p>
    <w:p w14:paraId="46F3B2B3" w14:textId="77777777" w:rsidR="0092590E" w:rsidRDefault="0092590E" w:rsidP="0092590E">
      <w:pPr>
        <w:pStyle w:val="NormalWeb"/>
        <w:spacing w:before="0" w:beforeAutospacing="0" w:after="120" w:afterAutospacing="0"/>
        <w:jc w:val="both"/>
        <w:rPr>
          <w:rFonts w:ascii="Verdana" w:hAnsi="Verdana" w:cs="Calibri"/>
          <w:sz w:val="20"/>
          <w:szCs w:val="20"/>
          <w:lang w:eastAsia="en-GB"/>
        </w:rPr>
      </w:pPr>
      <w:r>
        <w:rPr>
          <w:rFonts w:ascii="Verdana" w:hAnsi="Verdana"/>
          <w:sz w:val="20"/>
          <w:szCs w:val="20"/>
        </w:rPr>
        <w:lastRenderedPageBreak/>
        <w:t xml:space="preserve">These guidelines are to help you apply for the Children and Young People (CYP) Fund. The CYP Fund has a panel of members who will meet quarterly for larger applications £1,500- £5,000, and a fast-track system for applications under £1,500. </w:t>
      </w:r>
      <w:r>
        <w:rPr>
          <w:rFonts w:ascii="Verdana" w:hAnsi="Verdana"/>
          <w:color w:val="000000"/>
          <w:sz w:val="20"/>
          <w:szCs w:val="20"/>
        </w:rPr>
        <w:t xml:space="preserve">For projects that might require funding levels beyond the current £5,000 per project limit, where churches work collaboratively within deaneries, the panel will determine an overall budget for a specific area of work or set a limit of £5,000 for each location that is involved in the project (whichever is most appropriate) but with an overall top limit of £10,000 for exceptional circumstances. </w:t>
      </w:r>
    </w:p>
    <w:p w14:paraId="115C0C0B" w14:textId="77777777" w:rsidR="00F74310" w:rsidRPr="00F74310" w:rsidRDefault="00F74310" w:rsidP="00F74310">
      <w:pPr>
        <w:tabs>
          <w:tab w:val="left" w:pos="1073"/>
        </w:tabs>
        <w:spacing w:after="240"/>
        <w:rPr>
          <w:rFonts w:ascii="Verdana" w:hAnsi="Verdana"/>
          <w:b/>
          <w:bCs/>
          <w:color w:val="C00000"/>
          <w:sz w:val="24"/>
          <w:szCs w:val="24"/>
        </w:rPr>
      </w:pPr>
      <w:r w:rsidRPr="00F74310">
        <w:rPr>
          <w:rFonts w:ascii="Verdana" w:hAnsi="Verdana"/>
          <w:b/>
          <w:bCs/>
          <w:color w:val="C00000"/>
          <w:sz w:val="24"/>
          <w:szCs w:val="24"/>
        </w:rPr>
        <w:t>The Fund’s overall guidelines are:</w:t>
      </w:r>
    </w:p>
    <w:p w14:paraId="2DD35FF3" w14:textId="77777777" w:rsidR="0092590E" w:rsidRDefault="0092590E" w:rsidP="0092590E">
      <w:pPr>
        <w:shd w:val="clear" w:color="auto" w:fill="FFFFFF"/>
        <w:spacing w:before="100" w:beforeAutospacing="1" w:after="100" w:afterAutospacing="1"/>
        <w:jc w:val="both"/>
        <w:rPr>
          <w:rFonts w:ascii="Verdana" w:hAnsi="Verdana" w:cs="Calibri"/>
          <w:sz w:val="20"/>
        </w:rPr>
      </w:pPr>
      <w:r>
        <w:rPr>
          <w:rFonts w:ascii="Verdana" w:hAnsi="Verdana"/>
          <w:color w:val="000000"/>
          <w:sz w:val="20"/>
        </w:rPr>
        <w:t>The primary aim of the fund is to enable applications to start from a base of which small projects and ministry can build from and be linked to the revised Diocesan Called Together Strategic.</w:t>
      </w:r>
    </w:p>
    <w:p w14:paraId="2114BD87" w14:textId="77777777" w:rsidR="0092590E" w:rsidRDefault="0092590E" w:rsidP="0092590E">
      <w:pPr>
        <w:pStyle w:val="ListParagraph"/>
        <w:numPr>
          <w:ilvl w:val="1"/>
          <w:numId w:val="14"/>
        </w:numPr>
        <w:spacing w:after="120"/>
        <w:rPr>
          <w:rFonts w:ascii="Verdana" w:hAnsi="Verdana"/>
          <w:sz w:val="20"/>
          <w:szCs w:val="20"/>
          <w:lang w:val="en-US"/>
        </w:rPr>
      </w:pPr>
      <w:r>
        <w:rPr>
          <w:rFonts w:ascii="Verdana" w:hAnsi="Verdana"/>
          <w:sz w:val="20"/>
          <w:szCs w:val="20"/>
          <w:lang w:val="en-US"/>
        </w:rPr>
        <w:t>Enabling each church to be mission-minded</w:t>
      </w:r>
    </w:p>
    <w:p w14:paraId="33B7AC20" w14:textId="77777777" w:rsidR="0092590E" w:rsidRDefault="0092590E" w:rsidP="0092590E">
      <w:pPr>
        <w:pStyle w:val="ListParagraph"/>
        <w:numPr>
          <w:ilvl w:val="1"/>
          <w:numId w:val="14"/>
        </w:numPr>
        <w:spacing w:after="120"/>
        <w:rPr>
          <w:rFonts w:ascii="Verdana" w:hAnsi="Verdana"/>
          <w:sz w:val="20"/>
          <w:szCs w:val="20"/>
          <w:lang w:val="en-US"/>
        </w:rPr>
      </w:pPr>
      <w:r>
        <w:rPr>
          <w:rFonts w:ascii="Verdana" w:hAnsi="Verdana"/>
          <w:sz w:val="20"/>
          <w:szCs w:val="20"/>
          <w:lang w:val="en-US"/>
        </w:rPr>
        <w:t>Helping children, young people, and adults live out everyday faith in Jesus</w:t>
      </w:r>
    </w:p>
    <w:p w14:paraId="2853176D" w14:textId="77777777" w:rsidR="0092590E" w:rsidRDefault="0092590E" w:rsidP="0092590E">
      <w:pPr>
        <w:pStyle w:val="ListParagraph"/>
        <w:numPr>
          <w:ilvl w:val="1"/>
          <w:numId w:val="14"/>
        </w:numPr>
        <w:spacing w:after="120"/>
        <w:rPr>
          <w:rFonts w:ascii="Verdana" w:hAnsi="Verdana"/>
          <w:sz w:val="20"/>
          <w:szCs w:val="20"/>
          <w:lang w:val="en-US"/>
        </w:rPr>
      </w:pPr>
      <w:r>
        <w:rPr>
          <w:rFonts w:ascii="Verdana" w:hAnsi="Verdana"/>
          <w:sz w:val="20"/>
          <w:szCs w:val="20"/>
          <w:lang w:val="en-US"/>
        </w:rPr>
        <w:t>Supporting loving service in local communities</w:t>
      </w:r>
    </w:p>
    <w:p w14:paraId="16B6753C" w14:textId="77777777" w:rsidR="0092590E" w:rsidRDefault="0092590E" w:rsidP="0092590E">
      <w:pPr>
        <w:pStyle w:val="ListParagraph"/>
        <w:numPr>
          <w:ilvl w:val="1"/>
          <w:numId w:val="14"/>
        </w:numPr>
        <w:spacing w:after="120"/>
        <w:rPr>
          <w:rFonts w:ascii="Verdana" w:hAnsi="Verdana"/>
          <w:sz w:val="20"/>
          <w:szCs w:val="20"/>
          <w:lang w:val="en-US"/>
        </w:rPr>
      </w:pPr>
      <w:r>
        <w:rPr>
          <w:rFonts w:ascii="Verdana" w:hAnsi="Verdana"/>
          <w:sz w:val="20"/>
          <w:szCs w:val="20"/>
          <w:lang w:val="en-US"/>
        </w:rPr>
        <w:t>Encouraging, and responding to, the prophetic voice of justice and peace</w:t>
      </w:r>
    </w:p>
    <w:p w14:paraId="70BC40F5" w14:textId="77777777" w:rsidR="0092590E" w:rsidRDefault="0092590E" w:rsidP="0092590E">
      <w:pPr>
        <w:pStyle w:val="ListParagraph"/>
        <w:numPr>
          <w:ilvl w:val="1"/>
          <w:numId w:val="14"/>
        </w:numPr>
        <w:spacing w:after="120"/>
        <w:rPr>
          <w:rFonts w:ascii="Verdana" w:hAnsi="Verdana"/>
          <w:sz w:val="20"/>
          <w:szCs w:val="20"/>
          <w:lang w:val="en-US"/>
        </w:rPr>
      </w:pPr>
      <w:r>
        <w:rPr>
          <w:rFonts w:ascii="Verdana" w:hAnsi="Verdana"/>
          <w:sz w:val="20"/>
          <w:szCs w:val="20"/>
          <w:lang w:val="en-US"/>
        </w:rPr>
        <w:t>Protecting creation’s life for future generations</w:t>
      </w:r>
    </w:p>
    <w:p w14:paraId="0114DFC2" w14:textId="7B37FBBE" w:rsidR="0092590E" w:rsidRDefault="0092590E" w:rsidP="00964AA5">
      <w:pPr>
        <w:spacing w:after="120"/>
        <w:jc w:val="both"/>
        <w:rPr>
          <w:rFonts w:ascii="Verdana" w:hAnsi="Verdana"/>
          <w:sz w:val="20"/>
        </w:rPr>
      </w:pPr>
      <w:r>
        <w:rPr>
          <w:rFonts w:ascii="Verdana" w:hAnsi="Verdana"/>
          <w:sz w:val="20"/>
        </w:rPr>
        <w:t>This can also include existing projects and groups that need additional resourcing; however, the fund is unable to reimburse for monies already spent or for equipment already purchased.  There will be a strong emphasis to reach the local and immediate community with a Christian ethos behind the work of the project, particularly within areas of deprivation, that they demonstrate the love of Christ and following Jesus’ example of enabling people to be complete and have an identity in Christ.  The projects must be local and not in competition with existing work but demonstrating a capability to co-operate effectively with a clear intent to improve the lives and opportunities of children and young people wherever they are on their faith journey.  The applicants must show a desire to think beyond programmes and activities to a more systematic approach</w:t>
      </w:r>
      <w:r w:rsidR="00964AA5">
        <w:rPr>
          <w:rFonts w:ascii="Verdana" w:hAnsi="Verdana"/>
          <w:sz w:val="20"/>
        </w:rPr>
        <w:t>,</w:t>
      </w:r>
      <w:r>
        <w:rPr>
          <w:rFonts w:ascii="Verdana" w:hAnsi="Verdana"/>
          <w:sz w:val="20"/>
        </w:rPr>
        <w:t xml:space="preserve"> integrating the wider community, understanding the characteristics and ethos of the community, alongside being realistic about objectives, timeframes and scope for sustainability.</w:t>
      </w:r>
    </w:p>
    <w:p w14:paraId="1346CF66" w14:textId="6AFD4B2E" w:rsidR="00F74310" w:rsidRPr="00F74310" w:rsidRDefault="00F74310" w:rsidP="00DC0CFC">
      <w:pPr>
        <w:tabs>
          <w:tab w:val="left" w:pos="1073"/>
        </w:tabs>
        <w:spacing w:after="240"/>
        <w:jc w:val="both"/>
        <w:rPr>
          <w:rFonts w:ascii="Verdana" w:hAnsi="Verdana"/>
          <w:sz w:val="20"/>
        </w:rPr>
      </w:pPr>
    </w:p>
    <w:p w14:paraId="1E8F47E2" w14:textId="3DCB34B5" w:rsidR="00F74310" w:rsidRDefault="00F74310" w:rsidP="00DC0CFC">
      <w:pPr>
        <w:tabs>
          <w:tab w:val="left" w:pos="1073"/>
        </w:tabs>
        <w:spacing w:after="240"/>
        <w:jc w:val="both"/>
        <w:rPr>
          <w:rFonts w:ascii="Verdana" w:hAnsi="Verdana"/>
          <w:b/>
          <w:bCs/>
          <w:sz w:val="28"/>
          <w:szCs w:val="28"/>
        </w:rPr>
      </w:pPr>
      <w:r w:rsidRPr="00F74310">
        <w:rPr>
          <w:rFonts w:ascii="Verdana" w:hAnsi="Verdana"/>
          <w:b/>
          <w:bCs/>
          <w:color w:val="C00000"/>
          <w:sz w:val="24"/>
          <w:szCs w:val="24"/>
        </w:rPr>
        <w:t xml:space="preserve">Project applications will need to demonstrate, in line with </w:t>
      </w:r>
      <w:r w:rsidR="00964AA5">
        <w:rPr>
          <w:rFonts w:ascii="Verdana" w:hAnsi="Verdana"/>
          <w:b/>
          <w:bCs/>
          <w:color w:val="C00000"/>
          <w:sz w:val="24"/>
          <w:szCs w:val="24"/>
        </w:rPr>
        <w:t xml:space="preserve">revised </w:t>
      </w:r>
      <w:r w:rsidRPr="00F74310">
        <w:rPr>
          <w:rFonts w:ascii="Verdana" w:hAnsi="Verdana"/>
          <w:b/>
          <w:bCs/>
          <w:color w:val="C00000"/>
          <w:sz w:val="24"/>
          <w:szCs w:val="24"/>
        </w:rPr>
        <w:t xml:space="preserve">“Called Together Framework”, that they </w:t>
      </w:r>
      <w:r w:rsidRPr="00C0558D">
        <w:rPr>
          <w:rFonts w:ascii="Verdana" w:hAnsi="Verdana"/>
          <w:b/>
          <w:bCs/>
          <w:color w:val="C0504D" w:themeColor="accent2"/>
          <w:sz w:val="24"/>
          <w:szCs w:val="24"/>
        </w:rPr>
        <w:t>provide</w:t>
      </w:r>
      <w:r w:rsidRPr="00F74310">
        <w:rPr>
          <w:rFonts w:ascii="Verdana" w:hAnsi="Verdana"/>
          <w:b/>
          <w:bCs/>
          <w:color w:val="C00000"/>
          <w:sz w:val="28"/>
          <w:szCs w:val="28"/>
        </w:rPr>
        <w:t xml:space="preserve"> </w:t>
      </w:r>
      <w:r w:rsidRPr="00C0558D">
        <w:rPr>
          <w:rFonts w:ascii="Verdana" w:hAnsi="Verdana"/>
          <w:b/>
          <w:bCs/>
          <w:color w:val="C0504D" w:themeColor="accent2"/>
          <w:sz w:val="28"/>
          <w:szCs w:val="28"/>
        </w:rPr>
        <w:t>–</w:t>
      </w:r>
    </w:p>
    <w:p w14:paraId="20862FF5" w14:textId="77777777" w:rsidR="0092590E" w:rsidRDefault="0092590E" w:rsidP="0092590E">
      <w:pPr>
        <w:pStyle w:val="ListParagraph"/>
        <w:numPr>
          <w:ilvl w:val="0"/>
          <w:numId w:val="15"/>
        </w:numPr>
        <w:shd w:val="clear" w:color="auto" w:fill="FFFFFF"/>
        <w:spacing w:before="100" w:beforeAutospacing="1" w:after="100" w:afterAutospacing="1"/>
        <w:jc w:val="both"/>
        <w:rPr>
          <w:rFonts w:ascii="Verdana" w:eastAsia="Times New Roman" w:hAnsi="Verdana"/>
          <w:sz w:val="20"/>
          <w:szCs w:val="20"/>
        </w:rPr>
      </w:pPr>
      <w:r>
        <w:rPr>
          <w:rFonts w:ascii="Verdana" w:eastAsia="Times New Roman" w:hAnsi="Verdana"/>
          <w:color w:val="000000"/>
          <w:sz w:val="20"/>
          <w:szCs w:val="20"/>
        </w:rPr>
        <w:t xml:space="preserve">Specific opportunities / projects to enhance and enrich the lives of </w:t>
      </w:r>
      <w:r>
        <w:rPr>
          <w:rFonts w:ascii="Verdana" w:eastAsia="Times New Roman" w:hAnsi="Verdana"/>
          <w:b/>
          <w:bCs/>
          <w:color w:val="000000"/>
          <w:sz w:val="20"/>
          <w:szCs w:val="20"/>
        </w:rPr>
        <w:t>local</w:t>
      </w:r>
      <w:r>
        <w:rPr>
          <w:rFonts w:ascii="Verdana" w:eastAsia="Times New Roman" w:hAnsi="Verdana"/>
          <w:color w:val="000000"/>
          <w:sz w:val="20"/>
          <w:szCs w:val="20"/>
        </w:rPr>
        <w:t xml:space="preserve"> children and young people</w:t>
      </w:r>
    </w:p>
    <w:p w14:paraId="56EA7B75" w14:textId="5F11577A" w:rsidR="0092590E" w:rsidRDefault="0092590E" w:rsidP="0092590E">
      <w:pPr>
        <w:pStyle w:val="ListParagraph"/>
        <w:numPr>
          <w:ilvl w:val="0"/>
          <w:numId w:val="15"/>
        </w:numPr>
        <w:shd w:val="clear" w:color="auto" w:fill="FFFFFF"/>
        <w:spacing w:before="100" w:beforeAutospacing="1" w:after="100" w:afterAutospacing="1"/>
        <w:jc w:val="both"/>
        <w:rPr>
          <w:rFonts w:ascii="Verdana" w:eastAsia="Times New Roman" w:hAnsi="Verdana"/>
          <w:sz w:val="20"/>
          <w:szCs w:val="20"/>
        </w:rPr>
      </w:pPr>
      <w:r>
        <w:rPr>
          <w:rFonts w:ascii="Verdana" w:eastAsia="Times New Roman" w:hAnsi="Verdana"/>
          <w:color w:val="000000"/>
          <w:sz w:val="20"/>
          <w:szCs w:val="20"/>
        </w:rPr>
        <w:t>A strong evidenced commitment from the applicants to the projects by providing support, volunteers and an understanding of the community it serves (this will need to be outlined on the application form)</w:t>
      </w:r>
    </w:p>
    <w:p w14:paraId="7C8F0CD8" w14:textId="77777777" w:rsidR="0092590E" w:rsidRDefault="0092590E" w:rsidP="0092590E">
      <w:pPr>
        <w:pStyle w:val="ListParagraph"/>
        <w:numPr>
          <w:ilvl w:val="0"/>
          <w:numId w:val="15"/>
        </w:numPr>
        <w:shd w:val="clear" w:color="auto" w:fill="FFFFFF"/>
        <w:spacing w:before="100" w:beforeAutospacing="1" w:after="100" w:afterAutospacing="1"/>
        <w:jc w:val="both"/>
        <w:rPr>
          <w:rFonts w:ascii="Verdana" w:eastAsia="Times New Roman" w:hAnsi="Verdana"/>
          <w:sz w:val="20"/>
          <w:szCs w:val="20"/>
        </w:rPr>
      </w:pPr>
      <w:r>
        <w:rPr>
          <w:rFonts w:ascii="Verdana" w:eastAsia="Times New Roman" w:hAnsi="Verdana"/>
          <w:color w:val="000000"/>
          <w:sz w:val="20"/>
          <w:szCs w:val="20"/>
        </w:rPr>
        <w:t>Combining vision with reality and future developments</w:t>
      </w:r>
    </w:p>
    <w:p w14:paraId="16ECB667" w14:textId="77777777" w:rsidR="0092590E" w:rsidRDefault="0092590E" w:rsidP="0092590E">
      <w:pPr>
        <w:pStyle w:val="ListParagraph"/>
        <w:numPr>
          <w:ilvl w:val="0"/>
          <w:numId w:val="15"/>
        </w:numPr>
        <w:shd w:val="clear" w:color="auto" w:fill="FFFFFF"/>
        <w:spacing w:before="100" w:beforeAutospacing="1" w:after="100" w:afterAutospacing="1"/>
        <w:jc w:val="both"/>
        <w:rPr>
          <w:rFonts w:ascii="Verdana" w:eastAsia="Times New Roman" w:hAnsi="Verdana"/>
          <w:sz w:val="20"/>
          <w:szCs w:val="20"/>
        </w:rPr>
      </w:pPr>
      <w:r>
        <w:rPr>
          <w:rFonts w:ascii="Verdana" w:eastAsia="Times New Roman" w:hAnsi="Verdana"/>
          <w:color w:val="000000"/>
          <w:sz w:val="20"/>
          <w:szCs w:val="20"/>
        </w:rPr>
        <w:t>Intentional spiritual discipleship and faith building through the objectives / aims, therefore enabling people to be Christ centred and the complete person Christ intended them to be</w:t>
      </w:r>
    </w:p>
    <w:p w14:paraId="121E51AE" w14:textId="77777777" w:rsidR="0092590E" w:rsidRDefault="0092590E" w:rsidP="0092590E">
      <w:pPr>
        <w:pStyle w:val="ListParagraph"/>
        <w:numPr>
          <w:ilvl w:val="0"/>
          <w:numId w:val="15"/>
        </w:numPr>
        <w:shd w:val="clear" w:color="auto" w:fill="FFFFFF"/>
        <w:spacing w:before="100" w:beforeAutospacing="1" w:after="100" w:afterAutospacing="1"/>
        <w:jc w:val="both"/>
        <w:rPr>
          <w:rFonts w:ascii="Verdana" w:eastAsia="Times New Roman" w:hAnsi="Verdana"/>
          <w:sz w:val="20"/>
          <w:szCs w:val="20"/>
        </w:rPr>
      </w:pPr>
      <w:r>
        <w:rPr>
          <w:rFonts w:ascii="Verdana" w:eastAsia="Times New Roman" w:hAnsi="Verdana"/>
          <w:color w:val="000000"/>
          <w:sz w:val="20"/>
          <w:szCs w:val="20"/>
        </w:rPr>
        <w:t>Evidence of the parish(es) consideration of their local communities and the impact / difference that enables the project to grow, enrich and resource the community</w:t>
      </w:r>
    </w:p>
    <w:p w14:paraId="303045E5" w14:textId="3755BEA9" w:rsidR="0092590E" w:rsidRDefault="0092590E" w:rsidP="0092590E">
      <w:pPr>
        <w:pStyle w:val="ListParagraph"/>
        <w:numPr>
          <w:ilvl w:val="0"/>
          <w:numId w:val="15"/>
        </w:numPr>
        <w:shd w:val="clear" w:color="auto" w:fill="FFFFFF"/>
        <w:spacing w:before="100" w:beforeAutospacing="1" w:after="100" w:afterAutospacing="1"/>
        <w:jc w:val="both"/>
        <w:rPr>
          <w:rFonts w:ascii="Verdana" w:eastAsia="Times New Roman" w:hAnsi="Verdana"/>
          <w:sz w:val="20"/>
          <w:szCs w:val="20"/>
        </w:rPr>
      </w:pPr>
      <w:r>
        <w:rPr>
          <w:rFonts w:ascii="Verdana" w:eastAsia="Times New Roman" w:hAnsi="Verdana"/>
          <w:color w:val="000000"/>
          <w:sz w:val="20"/>
          <w:szCs w:val="20"/>
        </w:rPr>
        <w:t>Does the project cover and / or include social action, informed education, improving community cohesion</w:t>
      </w:r>
      <w:r w:rsidR="00B37B1F">
        <w:rPr>
          <w:rFonts w:ascii="Verdana" w:eastAsia="Times New Roman" w:hAnsi="Verdana"/>
          <w:color w:val="000000"/>
          <w:sz w:val="20"/>
          <w:szCs w:val="20"/>
        </w:rPr>
        <w:t>?</w:t>
      </w:r>
    </w:p>
    <w:p w14:paraId="46F6392F" w14:textId="77777777" w:rsidR="0092590E" w:rsidRDefault="0092590E" w:rsidP="0092590E">
      <w:pPr>
        <w:pStyle w:val="ListParagraph"/>
        <w:numPr>
          <w:ilvl w:val="0"/>
          <w:numId w:val="15"/>
        </w:numPr>
        <w:shd w:val="clear" w:color="auto" w:fill="FFFFFF"/>
        <w:spacing w:before="100" w:beforeAutospacing="1" w:after="100" w:afterAutospacing="1"/>
        <w:jc w:val="both"/>
        <w:rPr>
          <w:rFonts w:ascii="Verdana" w:eastAsia="Times New Roman" w:hAnsi="Verdana"/>
          <w:sz w:val="20"/>
          <w:szCs w:val="20"/>
        </w:rPr>
      </w:pPr>
      <w:r>
        <w:rPr>
          <w:rFonts w:ascii="Verdana" w:eastAsia="Times New Roman" w:hAnsi="Verdana"/>
          <w:color w:val="000000"/>
          <w:sz w:val="20"/>
          <w:szCs w:val="20"/>
        </w:rPr>
        <w:t>Enabling learning or greater earning capability</w:t>
      </w:r>
    </w:p>
    <w:p w14:paraId="6EFC957D" w14:textId="77777777" w:rsidR="0092590E" w:rsidRDefault="0092590E" w:rsidP="0092590E">
      <w:pPr>
        <w:pStyle w:val="ListParagraph"/>
        <w:numPr>
          <w:ilvl w:val="0"/>
          <w:numId w:val="15"/>
        </w:numPr>
        <w:shd w:val="clear" w:color="auto" w:fill="FFFFFF"/>
        <w:spacing w:before="100" w:beforeAutospacing="1" w:after="100" w:afterAutospacing="1"/>
        <w:jc w:val="both"/>
        <w:rPr>
          <w:rFonts w:ascii="Verdana" w:eastAsia="Times New Roman" w:hAnsi="Verdana"/>
          <w:sz w:val="20"/>
          <w:szCs w:val="20"/>
        </w:rPr>
      </w:pPr>
      <w:r>
        <w:rPr>
          <w:rFonts w:ascii="Verdana" w:eastAsia="Times New Roman" w:hAnsi="Verdana"/>
          <w:color w:val="000000"/>
          <w:sz w:val="20"/>
          <w:szCs w:val="20"/>
        </w:rPr>
        <w:t>Deal with issues associated with low income – including self-esteem, self-worth, motivation, identity and poor mental health</w:t>
      </w:r>
    </w:p>
    <w:p w14:paraId="6AFFDF4F" w14:textId="77777777" w:rsidR="0092590E" w:rsidRDefault="0092590E" w:rsidP="0092590E">
      <w:pPr>
        <w:pStyle w:val="ListParagraph"/>
        <w:numPr>
          <w:ilvl w:val="0"/>
          <w:numId w:val="15"/>
        </w:numPr>
        <w:shd w:val="clear" w:color="auto" w:fill="FFFFFF"/>
        <w:spacing w:before="100" w:beforeAutospacing="1" w:after="100" w:afterAutospacing="1"/>
        <w:jc w:val="both"/>
        <w:rPr>
          <w:rFonts w:ascii="Verdana" w:eastAsia="Times New Roman" w:hAnsi="Verdana"/>
          <w:sz w:val="20"/>
          <w:szCs w:val="20"/>
        </w:rPr>
      </w:pPr>
      <w:r>
        <w:rPr>
          <w:rFonts w:ascii="Verdana" w:eastAsia="Times New Roman" w:hAnsi="Verdana"/>
          <w:color w:val="000000"/>
          <w:sz w:val="20"/>
          <w:szCs w:val="20"/>
        </w:rPr>
        <w:lastRenderedPageBreak/>
        <w:t>Provide environments where relationship, trust and commitment to the local community becomes embedded into the Churches ministry and mission</w:t>
      </w:r>
    </w:p>
    <w:p w14:paraId="7526C020" w14:textId="77777777" w:rsidR="0092590E" w:rsidRDefault="0092590E" w:rsidP="0092590E">
      <w:pPr>
        <w:pStyle w:val="ListParagraph"/>
        <w:numPr>
          <w:ilvl w:val="0"/>
          <w:numId w:val="15"/>
        </w:numPr>
        <w:shd w:val="clear" w:color="auto" w:fill="FFFFFF"/>
        <w:spacing w:before="100" w:beforeAutospacing="1" w:after="100" w:afterAutospacing="1"/>
        <w:jc w:val="both"/>
        <w:rPr>
          <w:rFonts w:ascii="Verdana" w:eastAsia="Times New Roman" w:hAnsi="Verdana"/>
          <w:sz w:val="20"/>
          <w:szCs w:val="20"/>
        </w:rPr>
      </w:pPr>
      <w:r>
        <w:rPr>
          <w:rFonts w:ascii="Verdana" w:eastAsia="Times New Roman" w:hAnsi="Verdana"/>
          <w:color w:val="000000"/>
          <w:sz w:val="20"/>
          <w:szCs w:val="20"/>
        </w:rPr>
        <w:t>Create a culture of change, improving social inclusion and self-belief / worth for all</w:t>
      </w:r>
    </w:p>
    <w:p w14:paraId="5817FD3D" w14:textId="77777777" w:rsidR="00F74310" w:rsidRPr="00F74310" w:rsidRDefault="00F74310" w:rsidP="00DC0CFC">
      <w:pPr>
        <w:tabs>
          <w:tab w:val="left" w:pos="1073"/>
        </w:tabs>
        <w:spacing w:after="240"/>
        <w:jc w:val="both"/>
        <w:rPr>
          <w:rFonts w:ascii="Verdana" w:hAnsi="Verdana"/>
          <w:b/>
          <w:color w:val="C00000"/>
          <w:sz w:val="24"/>
          <w:szCs w:val="24"/>
        </w:rPr>
      </w:pPr>
      <w:r w:rsidRPr="00F74310">
        <w:rPr>
          <w:rFonts w:ascii="Verdana" w:hAnsi="Verdana"/>
          <w:b/>
          <w:color w:val="C00000"/>
          <w:sz w:val="24"/>
          <w:szCs w:val="24"/>
        </w:rPr>
        <w:t>All Applications must include -</w:t>
      </w:r>
    </w:p>
    <w:p w14:paraId="2B5B020D" w14:textId="77777777" w:rsidR="00F74310" w:rsidRPr="00F74310" w:rsidRDefault="00F74310" w:rsidP="00DC0CFC">
      <w:pPr>
        <w:numPr>
          <w:ilvl w:val="0"/>
          <w:numId w:val="11"/>
        </w:numPr>
        <w:tabs>
          <w:tab w:val="left" w:pos="1073"/>
        </w:tabs>
        <w:spacing w:after="240"/>
        <w:jc w:val="both"/>
        <w:rPr>
          <w:rFonts w:ascii="Verdana" w:hAnsi="Verdana"/>
          <w:sz w:val="20"/>
        </w:rPr>
      </w:pPr>
      <w:r w:rsidRPr="00F74310">
        <w:rPr>
          <w:rFonts w:ascii="Verdana" w:hAnsi="Verdana"/>
          <w:sz w:val="20"/>
        </w:rPr>
        <w:t>an explanation of the project and how it is expected to develop</w:t>
      </w:r>
    </w:p>
    <w:p w14:paraId="5D6A6DFC" w14:textId="77777777" w:rsidR="00F74310" w:rsidRPr="00F74310" w:rsidRDefault="00F74310" w:rsidP="00DC0CFC">
      <w:pPr>
        <w:numPr>
          <w:ilvl w:val="0"/>
          <w:numId w:val="11"/>
        </w:numPr>
        <w:tabs>
          <w:tab w:val="left" w:pos="1073"/>
        </w:tabs>
        <w:spacing w:after="240"/>
        <w:jc w:val="both"/>
        <w:rPr>
          <w:rFonts w:ascii="Verdana" w:hAnsi="Verdana"/>
          <w:sz w:val="20"/>
        </w:rPr>
      </w:pPr>
      <w:r w:rsidRPr="00F74310">
        <w:rPr>
          <w:rFonts w:ascii="Verdana" w:hAnsi="Verdana"/>
          <w:sz w:val="20"/>
        </w:rPr>
        <w:t>a realistic plan of action and resourcing</w:t>
      </w:r>
    </w:p>
    <w:p w14:paraId="570A3E67" w14:textId="77777777" w:rsidR="00F74310" w:rsidRPr="00F74310" w:rsidRDefault="00F74310" w:rsidP="00DC0CFC">
      <w:pPr>
        <w:numPr>
          <w:ilvl w:val="0"/>
          <w:numId w:val="11"/>
        </w:numPr>
        <w:tabs>
          <w:tab w:val="left" w:pos="1073"/>
        </w:tabs>
        <w:spacing w:after="240"/>
        <w:jc w:val="both"/>
        <w:rPr>
          <w:rFonts w:ascii="Verdana" w:hAnsi="Verdana"/>
          <w:sz w:val="20"/>
        </w:rPr>
      </w:pPr>
      <w:r w:rsidRPr="00F74310">
        <w:rPr>
          <w:rFonts w:ascii="Verdana" w:hAnsi="Verdana"/>
          <w:sz w:val="20"/>
        </w:rPr>
        <w:t>a process for monitoring progress and evaluating outcomes against the objectives</w:t>
      </w:r>
    </w:p>
    <w:p w14:paraId="3F08D7CD" w14:textId="77777777" w:rsidR="00F74310" w:rsidRPr="00F74310" w:rsidRDefault="00F74310" w:rsidP="00DC0CFC">
      <w:pPr>
        <w:numPr>
          <w:ilvl w:val="0"/>
          <w:numId w:val="11"/>
        </w:numPr>
        <w:tabs>
          <w:tab w:val="left" w:pos="1073"/>
        </w:tabs>
        <w:spacing w:after="240"/>
        <w:jc w:val="both"/>
        <w:rPr>
          <w:rFonts w:ascii="Verdana" w:hAnsi="Verdana"/>
          <w:sz w:val="20"/>
        </w:rPr>
      </w:pPr>
      <w:r w:rsidRPr="00F74310">
        <w:rPr>
          <w:rFonts w:ascii="Verdana" w:hAnsi="Verdana"/>
          <w:sz w:val="20"/>
        </w:rPr>
        <w:t>a clear budget with accurate costings, for both income and costs – use the CYP Budget Sheet</w:t>
      </w:r>
    </w:p>
    <w:p w14:paraId="514B99E8" w14:textId="77777777" w:rsidR="00F74310" w:rsidRPr="00F74310" w:rsidRDefault="00F74310" w:rsidP="00DC0CFC">
      <w:pPr>
        <w:numPr>
          <w:ilvl w:val="0"/>
          <w:numId w:val="11"/>
        </w:numPr>
        <w:tabs>
          <w:tab w:val="left" w:pos="1073"/>
        </w:tabs>
        <w:spacing w:after="240"/>
        <w:jc w:val="both"/>
        <w:rPr>
          <w:rFonts w:ascii="Verdana" w:hAnsi="Verdana"/>
          <w:sz w:val="20"/>
        </w:rPr>
      </w:pPr>
      <w:r w:rsidRPr="00F74310">
        <w:rPr>
          <w:rFonts w:ascii="Verdana" w:hAnsi="Verdana"/>
          <w:sz w:val="20"/>
        </w:rPr>
        <w:t>a plan for funding the shortfall between the amount applied for and the amount needed</w:t>
      </w:r>
    </w:p>
    <w:p w14:paraId="5C5C293A" w14:textId="77777777" w:rsidR="00F74310" w:rsidRPr="00F74310" w:rsidRDefault="00F74310" w:rsidP="00DC0CFC">
      <w:pPr>
        <w:numPr>
          <w:ilvl w:val="0"/>
          <w:numId w:val="11"/>
        </w:numPr>
        <w:tabs>
          <w:tab w:val="left" w:pos="1073"/>
        </w:tabs>
        <w:spacing w:after="240"/>
        <w:jc w:val="both"/>
        <w:rPr>
          <w:rFonts w:ascii="Verdana" w:hAnsi="Verdana"/>
          <w:sz w:val="20"/>
        </w:rPr>
      </w:pPr>
      <w:r w:rsidRPr="00F74310">
        <w:rPr>
          <w:rFonts w:ascii="Verdana" w:hAnsi="Verdana"/>
          <w:sz w:val="20"/>
        </w:rPr>
        <w:t>an assessment of the major risks in carrying out the project</w:t>
      </w:r>
    </w:p>
    <w:p w14:paraId="56A68F01" w14:textId="77777777" w:rsidR="00F74310" w:rsidRPr="00F74310" w:rsidRDefault="00F74310" w:rsidP="00DC0CFC">
      <w:pPr>
        <w:numPr>
          <w:ilvl w:val="0"/>
          <w:numId w:val="11"/>
        </w:numPr>
        <w:tabs>
          <w:tab w:val="left" w:pos="1073"/>
        </w:tabs>
        <w:spacing w:after="240"/>
        <w:jc w:val="both"/>
        <w:rPr>
          <w:rFonts w:ascii="Verdana" w:hAnsi="Verdana"/>
          <w:sz w:val="20"/>
        </w:rPr>
      </w:pPr>
      <w:r w:rsidRPr="00F74310">
        <w:rPr>
          <w:rFonts w:ascii="Verdana" w:hAnsi="Verdana"/>
          <w:sz w:val="20"/>
        </w:rPr>
        <w:t>plans for the long-term viability of the project once the grant ends. The project must demonstrate sustainability beyond the CYP funding</w:t>
      </w:r>
    </w:p>
    <w:p w14:paraId="4EC8F9A5" w14:textId="77777777" w:rsidR="00F74310" w:rsidRPr="00F74310" w:rsidRDefault="00F74310" w:rsidP="00DC0CFC">
      <w:pPr>
        <w:tabs>
          <w:tab w:val="left" w:pos="1073"/>
        </w:tabs>
        <w:spacing w:after="240"/>
        <w:jc w:val="both"/>
        <w:rPr>
          <w:rFonts w:ascii="Verdana" w:hAnsi="Verdana"/>
          <w:b/>
          <w:bCs/>
          <w:color w:val="C00000"/>
          <w:sz w:val="24"/>
          <w:szCs w:val="24"/>
        </w:rPr>
      </w:pPr>
      <w:r w:rsidRPr="00F74310">
        <w:rPr>
          <w:rFonts w:ascii="Verdana" w:hAnsi="Verdana"/>
          <w:b/>
          <w:bCs/>
          <w:color w:val="C00000"/>
          <w:sz w:val="24"/>
          <w:szCs w:val="24"/>
        </w:rPr>
        <w:t xml:space="preserve">Key issues </w:t>
      </w:r>
    </w:p>
    <w:p w14:paraId="109C774D" w14:textId="6F801CFA" w:rsidR="00F74310" w:rsidRPr="00F74310" w:rsidRDefault="00F74310" w:rsidP="00DC0CFC">
      <w:pPr>
        <w:numPr>
          <w:ilvl w:val="0"/>
          <w:numId w:val="12"/>
        </w:numPr>
        <w:tabs>
          <w:tab w:val="left" w:pos="1073"/>
        </w:tabs>
        <w:spacing w:after="240"/>
        <w:jc w:val="both"/>
        <w:rPr>
          <w:rFonts w:ascii="Verdana" w:hAnsi="Verdana"/>
          <w:sz w:val="20"/>
        </w:rPr>
      </w:pPr>
      <w:r w:rsidRPr="00F74310">
        <w:rPr>
          <w:rFonts w:ascii="Verdana" w:hAnsi="Verdana"/>
          <w:sz w:val="20"/>
        </w:rPr>
        <w:t>The CYP Fund is for direct delivery towards children and young people’s ministry,</w:t>
      </w:r>
      <w:r w:rsidRPr="00F74310">
        <w:rPr>
          <w:rFonts w:ascii="Verdana" w:hAnsi="Verdana"/>
          <w:b/>
          <w:sz w:val="20"/>
        </w:rPr>
        <w:t xml:space="preserve"> but</w:t>
      </w:r>
      <w:r w:rsidRPr="00F74310">
        <w:rPr>
          <w:rFonts w:ascii="Verdana" w:hAnsi="Verdana"/>
          <w:sz w:val="20"/>
        </w:rPr>
        <w:t xml:space="preserve"> salaries for employing a worker are outside of the scope of the fund.</w:t>
      </w:r>
      <w:r w:rsidR="00B37B1F">
        <w:rPr>
          <w:rFonts w:ascii="Verdana" w:hAnsi="Verdana"/>
          <w:sz w:val="20"/>
        </w:rPr>
        <w:t xml:space="preserve"> However</w:t>
      </w:r>
      <w:r w:rsidR="00C0558D">
        <w:rPr>
          <w:rFonts w:ascii="Verdana" w:hAnsi="Verdana"/>
          <w:sz w:val="20"/>
        </w:rPr>
        <w:t>,</w:t>
      </w:r>
      <w:r w:rsidR="00B37B1F">
        <w:rPr>
          <w:rFonts w:ascii="Verdana" w:hAnsi="Verdana"/>
          <w:sz w:val="20"/>
        </w:rPr>
        <w:t xml:space="preserve"> resourcing a specialist for a specific task or activity area of the project is permitted.</w:t>
      </w:r>
    </w:p>
    <w:p w14:paraId="5D998D0D" w14:textId="77777777" w:rsidR="00F74310" w:rsidRPr="00F74310" w:rsidRDefault="00F74310" w:rsidP="00DC0CFC">
      <w:pPr>
        <w:numPr>
          <w:ilvl w:val="0"/>
          <w:numId w:val="12"/>
        </w:numPr>
        <w:tabs>
          <w:tab w:val="left" w:pos="1073"/>
        </w:tabs>
        <w:spacing w:after="240"/>
        <w:jc w:val="both"/>
        <w:rPr>
          <w:rFonts w:ascii="Verdana" w:hAnsi="Verdana"/>
          <w:sz w:val="20"/>
        </w:rPr>
      </w:pPr>
      <w:r w:rsidRPr="00F74310">
        <w:rPr>
          <w:rFonts w:ascii="Verdana" w:hAnsi="Verdana"/>
          <w:sz w:val="20"/>
        </w:rPr>
        <w:t>The grant cannot be used for commercial enterprises.</w:t>
      </w:r>
    </w:p>
    <w:p w14:paraId="66C521E2" w14:textId="7D633987" w:rsidR="00F74310" w:rsidRPr="00F74310" w:rsidRDefault="00F74310" w:rsidP="00DC0CFC">
      <w:pPr>
        <w:numPr>
          <w:ilvl w:val="0"/>
          <w:numId w:val="12"/>
        </w:numPr>
        <w:tabs>
          <w:tab w:val="left" w:pos="1073"/>
        </w:tabs>
        <w:spacing w:after="240"/>
        <w:jc w:val="both"/>
        <w:rPr>
          <w:rFonts w:ascii="Verdana" w:hAnsi="Verdana"/>
          <w:sz w:val="20"/>
        </w:rPr>
      </w:pPr>
      <w:r w:rsidRPr="00F74310">
        <w:rPr>
          <w:rFonts w:ascii="Verdana" w:hAnsi="Verdana"/>
          <w:sz w:val="20"/>
        </w:rPr>
        <w:t xml:space="preserve">Resourcing a room or equipping it for a new work </w:t>
      </w:r>
      <w:r w:rsidR="00B37B1F">
        <w:rPr>
          <w:rFonts w:ascii="Verdana" w:hAnsi="Verdana"/>
          <w:sz w:val="20"/>
        </w:rPr>
        <w:t>would be permitted</w:t>
      </w:r>
      <w:r w:rsidRPr="00F74310">
        <w:rPr>
          <w:rFonts w:ascii="Verdana" w:hAnsi="Verdana"/>
          <w:sz w:val="20"/>
        </w:rPr>
        <w:t xml:space="preserve"> but buildings of themselves are outside the scope of the fund</w:t>
      </w:r>
    </w:p>
    <w:p w14:paraId="522EFEAC" w14:textId="1E91048E" w:rsidR="009C7BD6" w:rsidRPr="009C7BD6" w:rsidRDefault="00F74310" w:rsidP="009C7BD6">
      <w:pPr>
        <w:numPr>
          <w:ilvl w:val="0"/>
          <w:numId w:val="12"/>
        </w:numPr>
        <w:tabs>
          <w:tab w:val="left" w:pos="1073"/>
        </w:tabs>
        <w:spacing w:after="240"/>
        <w:jc w:val="both"/>
        <w:rPr>
          <w:rFonts w:ascii="Verdana" w:hAnsi="Verdana"/>
          <w:color w:val="C00000"/>
          <w:sz w:val="24"/>
          <w:szCs w:val="24"/>
        </w:rPr>
      </w:pPr>
      <w:r w:rsidRPr="004575B5">
        <w:rPr>
          <w:rFonts w:ascii="Verdana" w:hAnsi="Verdana"/>
          <w:sz w:val="20"/>
        </w:rPr>
        <w:t>The fund aims to nurture the development of new</w:t>
      </w:r>
      <w:r w:rsidR="00B37B1F" w:rsidRPr="004575B5">
        <w:rPr>
          <w:rFonts w:ascii="Verdana" w:hAnsi="Verdana"/>
          <w:sz w:val="20"/>
        </w:rPr>
        <w:t>, existing</w:t>
      </w:r>
      <w:r w:rsidRPr="004575B5">
        <w:rPr>
          <w:rFonts w:ascii="Verdana" w:hAnsi="Verdana"/>
          <w:sz w:val="20"/>
        </w:rPr>
        <w:t xml:space="preserve"> and extended work in parallel with existing ministries</w:t>
      </w:r>
      <w:r w:rsidR="004575B5">
        <w:rPr>
          <w:rFonts w:ascii="Verdana" w:hAnsi="Verdana"/>
          <w:sz w:val="20"/>
        </w:rPr>
        <w:t>.</w:t>
      </w:r>
    </w:p>
    <w:p w14:paraId="4609959B" w14:textId="669DE389" w:rsidR="00F74310" w:rsidRPr="004575B5" w:rsidRDefault="00F74310" w:rsidP="009C7BD6">
      <w:pPr>
        <w:tabs>
          <w:tab w:val="left" w:pos="1073"/>
        </w:tabs>
        <w:spacing w:after="240"/>
        <w:jc w:val="both"/>
        <w:rPr>
          <w:rFonts w:ascii="Verdana" w:hAnsi="Verdana"/>
          <w:color w:val="C00000"/>
          <w:sz w:val="24"/>
          <w:szCs w:val="24"/>
        </w:rPr>
      </w:pPr>
      <w:r w:rsidRPr="004575B5">
        <w:rPr>
          <w:rFonts w:ascii="Verdana" w:hAnsi="Verdana"/>
          <w:b/>
          <w:bCs/>
          <w:color w:val="C00000"/>
          <w:sz w:val="24"/>
          <w:szCs w:val="24"/>
        </w:rPr>
        <w:t xml:space="preserve">Proposed Application Process </w:t>
      </w:r>
      <w:r w:rsidRPr="004575B5">
        <w:rPr>
          <w:rFonts w:ascii="Verdana" w:hAnsi="Verdana"/>
          <w:color w:val="C00000"/>
          <w:sz w:val="24"/>
          <w:szCs w:val="24"/>
        </w:rPr>
        <w:t xml:space="preserve"> </w:t>
      </w:r>
    </w:p>
    <w:p w14:paraId="78BD440E" w14:textId="77777777" w:rsidR="00F74310" w:rsidRPr="00F74310" w:rsidRDefault="00F74310" w:rsidP="00DC0CFC">
      <w:pPr>
        <w:tabs>
          <w:tab w:val="left" w:pos="1073"/>
        </w:tabs>
        <w:spacing w:after="240"/>
        <w:jc w:val="both"/>
        <w:rPr>
          <w:rFonts w:ascii="Verdana" w:hAnsi="Verdana"/>
          <w:sz w:val="20"/>
        </w:rPr>
      </w:pPr>
      <w:r w:rsidRPr="00F74310">
        <w:rPr>
          <w:rFonts w:ascii="Verdana" w:hAnsi="Verdana"/>
          <w:sz w:val="20"/>
        </w:rPr>
        <w:t>Applications will be welcomed from parishes and deaneries and in conjunction with partnering organisations working collaboratively, known to the Diocese of Rochester.</w:t>
      </w:r>
    </w:p>
    <w:p w14:paraId="0FE8CABE" w14:textId="0A60C984" w:rsidR="00F74310" w:rsidRPr="00F74310" w:rsidRDefault="00F74310" w:rsidP="00DC0CFC">
      <w:pPr>
        <w:tabs>
          <w:tab w:val="left" w:pos="1073"/>
        </w:tabs>
        <w:spacing w:after="240"/>
        <w:jc w:val="both"/>
        <w:rPr>
          <w:rFonts w:ascii="Verdana" w:hAnsi="Verdana"/>
          <w:sz w:val="20"/>
        </w:rPr>
      </w:pPr>
      <w:r w:rsidRPr="00F74310">
        <w:rPr>
          <w:rFonts w:ascii="Verdana" w:hAnsi="Verdana"/>
          <w:sz w:val="20"/>
        </w:rPr>
        <w:t xml:space="preserve">Applications will only be accepted on the application form which can be </w:t>
      </w:r>
      <w:r w:rsidR="00C0558D">
        <w:rPr>
          <w:rFonts w:ascii="Verdana" w:hAnsi="Verdana"/>
          <w:sz w:val="20"/>
        </w:rPr>
        <w:t xml:space="preserve">found </w:t>
      </w:r>
      <w:r w:rsidRPr="00F74310">
        <w:rPr>
          <w:rFonts w:ascii="Verdana" w:hAnsi="Verdana"/>
          <w:sz w:val="20"/>
        </w:rPr>
        <w:t xml:space="preserve">at </w:t>
      </w:r>
      <w:hyperlink r:id="rId9" w:history="1">
        <w:r w:rsidR="00C0558D" w:rsidRPr="00C0558D">
          <w:rPr>
            <w:color w:val="0000FF"/>
            <w:u w:val="single"/>
          </w:rPr>
          <w:t>Diocese of Rochester | Children and Young People (CYP) Fund (anglican.org)</w:t>
        </w:r>
      </w:hyperlink>
      <w:r w:rsidRPr="00F74310">
        <w:rPr>
          <w:rFonts w:ascii="Verdana" w:hAnsi="Verdana"/>
          <w:sz w:val="20"/>
        </w:rPr>
        <w:t xml:space="preserve"> or by contacting </w:t>
      </w:r>
      <w:hyperlink r:id="rId10" w:history="1">
        <w:r w:rsidR="00C0558D" w:rsidRPr="00BD45F4">
          <w:rPr>
            <w:rStyle w:val="Hyperlink"/>
            <w:rFonts w:ascii="Verdana" w:hAnsi="Verdana"/>
            <w:sz w:val="20"/>
          </w:rPr>
          <w:t>sarah.cabella@rochester.anglican.org</w:t>
        </w:r>
      </w:hyperlink>
      <w:r w:rsidRPr="00F74310">
        <w:rPr>
          <w:rFonts w:ascii="Verdana" w:hAnsi="Verdana"/>
          <w:sz w:val="20"/>
        </w:rPr>
        <w:t xml:space="preserve">.  All applications must be returned to Sarah Cabella – </w:t>
      </w:r>
      <w:hyperlink r:id="rId11" w:history="1">
        <w:r w:rsidRPr="00F74310">
          <w:rPr>
            <w:rStyle w:val="Hyperlink"/>
            <w:rFonts w:ascii="Verdana" w:hAnsi="Verdana"/>
            <w:sz w:val="20"/>
          </w:rPr>
          <w:t>sarah.cabella@rochester.anglican.org</w:t>
        </w:r>
      </w:hyperlink>
      <w:r w:rsidR="00964AA5">
        <w:rPr>
          <w:rStyle w:val="Hyperlink"/>
          <w:rFonts w:ascii="Verdana" w:hAnsi="Verdana"/>
          <w:sz w:val="20"/>
        </w:rPr>
        <w:t>, preferably by email,</w:t>
      </w:r>
      <w:r w:rsidRPr="00F74310">
        <w:rPr>
          <w:rFonts w:ascii="Verdana" w:hAnsi="Verdana"/>
          <w:sz w:val="20"/>
        </w:rPr>
        <w:t xml:space="preserve"> or by post to Diocesan Office, St Nicholas Church, Boley Hill, Rochester, Kent.  ME1 1SL.</w:t>
      </w:r>
    </w:p>
    <w:p w14:paraId="70B6A606" w14:textId="5463AAA2" w:rsidR="00F74310" w:rsidRPr="00F74310" w:rsidRDefault="00F74310" w:rsidP="00DC0CFC">
      <w:pPr>
        <w:tabs>
          <w:tab w:val="left" w:pos="1073"/>
        </w:tabs>
        <w:spacing w:after="240"/>
        <w:jc w:val="both"/>
        <w:rPr>
          <w:rFonts w:ascii="Verdana" w:hAnsi="Verdana"/>
          <w:sz w:val="20"/>
        </w:rPr>
      </w:pPr>
      <w:r w:rsidRPr="00F74310">
        <w:rPr>
          <w:rFonts w:ascii="Verdana" w:hAnsi="Verdana"/>
          <w:sz w:val="20"/>
        </w:rPr>
        <w:t>An application will be assessed as to the level of grant needed from the limited financial resources of the fund</w:t>
      </w:r>
      <w:r w:rsidR="001329FA">
        <w:rPr>
          <w:rFonts w:ascii="Verdana" w:hAnsi="Verdana"/>
          <w:sz w:val="20"/>
        </w:rPr>
        <w:t xml:space="preserve"> </w:t>
      </w:r>
      <w:r w:rsidRPr="00F74310">
        <w:rPr>
          <w:rFonts w:ascii="Verdana" w:hAnsi="Verdana"/>
          <w:sz w:val="20"/>
        </w:rPr>
        <w:t>and will be examined against the criteria above.</w:t>
      </w:r>
    </w:p>
    <w:p w14:paraId="62011405" w14:textId="34D40809" w:rsidR="0092590E" w:rsidRDefault="0092590E" w:rsidP="0092590E">
      <w:pPr>
        <w:shd w:val="clear" w:color="auto" w:fill="FFFFFF"/>
        <w:spacing w:before="100" w:beforeAutospacing="1" w:after="100" w:afterAutospacing="1"/>
        <w:jc w:val="both"/>
        <w:rPr>
          <w:rFonts w:ascii="Verdana" w:hAnsi="Verdana" w:cs="Calibri"/>
          <w:sz w:val="20"/>
        </w:rPr>
      </w:pPr>
      <w:r>
        <w:rPr>
          <w:rFonts w:ascii="Verdana" w:hAnsi="Verdana"/>
          <w:color w:val="000000"/>
          <w:sz w:val="20"/>
        </w:rPr>
        <w:t xml:space="preserve">Once a grant has been awarded by either the fast-track or the full CYP Fund panel, the Grant Organiser will be notified within two weeks of the panel decision, with monitoring procedures set in motion.  These will include – </w:t>
      </w:r>
    </w:p>
    <w:p w14:paraId="282C63C5" w14:textId="77777777" w:rsidR="00F74310" w:rsidRPr="00F74310" w:rsidRDefault="00F74310" w:rsidP="00DC0CFC">
      <w:pPr>
        <w:tabs>
          <w:tab w:val="left" w:pos="1073"/>
        </w:tabs>
        <w:spacing w:after="240"/>
        <w:jc w:val="both"/>
        <w:rPr>
          <w:rFonts w:ascii="Verdana" w:hAnsi="Verdana"/>
          <w:sz w:val="20"/>
        </w:rPr>
      </w:pPr>
      <w:r w:rsidRPr="00F74310">
        <w:rPr>
          <w:rFonts w:ascii="Verdana" w:hAnsi="Verdana"/>
          <w:sz w:val="20"/>
        </w:rPr>
        <w:lastRenderedPageBreak/>
        <w:t>A six week initial progress report, via a telephone call.</w:t>
      </w:r>
    </w:p>
    <w:p w14:paraId="49FC4F10" w14:textId="77777777" w:rsidR="00F74310" w:rsidRPr="00F74310" w:rsidRDefault="00F74310" w:rsidP="00DC0CFC">
      <w:pPr>
        <w:tabs>
          <w:tab w:val="left" w:pos="1073"/>
        </w:tabs>
        <w:spacing w:after="240"/>
        <w:jc w:val="both"/>
        <w:rPr>
          <w:rFonts w:ascii="Verdana" w:hAnsi="Verdana"/>
          <w:sz w:val="20"/>
        </w:rPr>
      </w:pPr>
      <w:r w:rsidRPr="00F74310">
        <w:rPr>
          <w:rFonts w:ascii="Verdana" w:hAnsi="Verdana"/>
          <w:sz w:val="20"/>
        </w:rPr>
        <w:t xml:space="preserve">A six month monitoring visit and / or a recorded evaluation of the outcomes against the objectives. (Dependant on the project and in negotiation with the CYP Team). </w:t>
      </w:r>
    </w:p>
    <w:p w14:paraId="6F71F220" w14:textId="77777777" w:rsidR="00F74310" w:rsidRPr="00F74310" w:rsidRDefault="00F74310" w:rsidP="00DC0CFC">
      <w:pPr>
        <w:tabs>
          <w:tab w:val="left" w:pos="1073"/>
        </w:tabs>
        <w:spacing w:after="240"/>
        <w:jc w:val="both"/>
        <w:rPr>
          <w:rFonts w:ascii="Verdana" w:hAnsi="Verdana"/>
          <w:sz w:val="20"/>
        </w:rPr>
      </w:pPr>
      <w:r w:rsidRPr="00F74310">
        <w:rPr>
          <w:rFonts w:ascii="Verdana" w:hAnsi="Verdana"/>
          <w:sz w:val="20"/>
        </w:rPr>
        <w:t>If an application for a grant is unsuccessful, the panel will provide an explanation.  Revised applications will be considered at the next deadline.</w:t>
      </w:r>
    </w:p>
    <w:p w14:paraId="401D77D6" w14:textId="5B531DE0" w:rsidR="00F74310" w:rsidRPr="00F74310" w:rsidRDefault="00F74310" w:rsidP="00DC0CFC">
      <w:pPr>
        <w:tabs>
          <w:tab w:val="left" w:pos="1073"/>
        </w:tabs>
        <w:spacing w:after="240"/>
        <w:jc w:val="both"/>
        <w:rPr>
          <w:rFonts w:ascii="Verdana" w:hAnsi="Verdana"/>
          <w:sz w:val="20"/>
          <w:lang w:val="en-US"/>
        </w:rPr>
      </w:pPr>
      <w:r w:rsidRPr="00F74310">
        <w:rPr>
          <w:rFonts w:ascii="Verdana" w:hAnsi="Verdana"/>
          <w:sz w:val="20"/>
          <w:lang w:val="en-US"/>
        </w:rPr>
        <w:t xml:space="preserve">If there are any surplus funds left over from the grant awarded, these will need to be returned or negotiated with the funds panel, to fund similar projects within the near future </w:t>
      </w:r>
      <w:r w:rsidR="00B37B1F">
        <w:rPr>
          <w:rFonts w:ascii="Verdana" w:hAnsi="Verdana"/>
          <w:sz w:val="20"/>
          <w:lang w:val="en-US"/>
        </w:rPr>
        <w:t>of</w:t>
      </w:r>
      <w:r w:rsidRPr="00F74310">
        <w:rPr>
          <w:rFonts w:ascii="Verdana" w:hAnsi="Verdana"/>
          <w:sz w:val="20"/>
          <w:lang w:val="en-US"/>
        </w:rPr>
        <w:t xml:space="preserve"> the original application.</w:t>
      </w:r>
    </w:p>
    <w:p w14:paraId="458B1F50" w14:textId="77777777" w:rsidR="00F74310" w:rsidRPr="00F74310" w:rsidRDefault="00F74310" w:rsidP="00DC0CFC">
      <w:pPr>
        <w:tabs>
          <w:tab w:val="left" w:pos="1073"/>
        </w:tabs>
        <w:spacing w:after="240"/>
        <w:jc w:val="both"/>
        <w:rPr>
          <w:rFonts w:ascii="Verdana" w:hAnsi="Verdana"/>
          <w:sz w:val="20"/>
        </w:rPr>
      </w:pPr>
      <w:r w:rsidRPr="00F74310">
        <w:rPr>
          <w:rFonts w:ascii="Verdana" w:hAnsi="Verdana"/>
          <w:sz w:val="20"/>
        </w:rPr>
        <w:t xml:space="preserve">Applicants will be able to re-apply to the CYP fund if they have previously been awarded a grant and it has proven successful. </w:t>
      </w:r>
    </w:p>
    <w:p w14:paraId="59034A1D" w14:textId="77777777" w:rsidR="00F74310" w:rsidRPr="00F74310" w:rsidRDefault="00F74310" w:rsidP="00DC0CFC">
      <w:pPr>
        <w:tabs>
          <w:tab w:val="left" w:pos="1073"/>
        </w:tabs>
        <w:spacing w:after="240"/>
        <w:jc w:val="both"/>
        <w:rPr>
          <w:rFonts w:ascii="Verdana" w:hAnsi="Verdana"/>
          <w:color w:val="C00000"/>
          <w:sz w:val="24"/>
          <w:szCs w:val="24"/>
        </w:rPr>
      </w:pPr>
      <w:r w:rsidRPr="00F74310">
        <w:rPr>
          <w:rFonts w:ascii="Verdana" w:hAnsi="Verdana"/>
          <w:b/>
          <w:bCs/>
          <w:color w:val="C00000"/>
          <w:sz w:val="24"/>
          <w:szCs w:val="24"/>
        </w:rPr>
        <w:t>Project update:</w:t>
      </w:r>
    </w:p>
    <w:p w14:paraId="6E3F1592" w14:textId="77777777" w:rsidR="00F74310" w:rsidRPr="00F74310" w:rsidRDefault="00F74310" w:rsidP="00DC0CFC">
      <w:pPr>
        <w:tabs>
          <w:tab w:val="left" w:pos="1073"/>
        </w:tabs>
        <w:spacing w:after="240"/>
        <w:jc w:val="both"/>
        <w:rPr>
          <w:rFonts w:ascii="Verdana" w:hAnsi="Verdana"/>
          <w:sz w:val="20"/>
        </w:rPr>
      </w:pPr>
      <w:r w:rsidRPr="00F74310">
        <w:rPr>
          <w:rFonts w:ascii="Verdana" w:hAnsi="Verdana"/>
          <w:sz w:val="20"/>
        </w:rPr>
        <w:t xml:space="preserve">As stated above, but – </w:t>
      </w:r>
    </w:p>
    <w:p w14:paraId="052B767B" w14:textId="77777777" w:rsidR="00F74310" w:rsidRPr="00F74310" w:rsidRDefault="00F74310" w:rsidP="00DC0CFC">
      <w:pPr>
        <w:tabs>
          <w:tab w:val="left" w:pos="1073"/>
        </w:tabs>
        <w:spacing w:after="240"/>
        <w:jc w:val="both"/>
        <w:rPr>
          <w:rFonts w:ascii="Verdana" w:hAnsi="Verdana"/>
          <w:sz w:val="20"/>
        </w:rPr>
      </w:pPr>
      <w:r w:rsidRPr="00F74310">
        <w:rPr>
          <w:rFonts w:ascii="Verdana" w:hAnsi="Verdana"/>
          <w:sz w:val="20"/>
        </w:rPr>
        <w:t>A six week initial progress report, via a telephone call.</w:t>
      </w:r>
    </w:p>
    <w:p w14:paraId="6F6D0AA6" w14:textId="77777777" w:rsidR="00F74310" w:rsidRPr="00F74310" w:rsidRDefault="00F74310" w:rsidP="00DC0CFC">
      <w:pPr>
        <w:tabs>
          <w:tab w:val="left" w:pos="1073"/>
        </w:tabs>
        <w:spacing w:after="240"/>
        <w:jc w:val="both"/>
        <w:rPr>
          <w:rFonts w:ascii="Verdana" w:hAnsi="Verdana"/>
          <w:sz w:val="20"/>
        </w:rPr>
      </w:pPr>
      <w:r w:rsidRPr="00F74310">
        <w:rPr>
          <w:rFonts w:ascii="Verdana" w:hAnsi="Verdana"/>
          <w:sz w:val="20"/>
        </w:rPr>
        <w:t xml:space="preserve">A six month monitoring visit and / or a recorded evaluation of the outcomes against the objectives. (Dependant on the project and in negotiation with the CYP Team). </w:t>
      </w:r>
    </w:p>
    <w:p w14:paraId="06FAE089" w14:textId="4FA3F943" w:rsidR="00F74310" w:rsidRDefault="00F74310" w:rsidP="00DC0CFC">
      <w:pPr>
        <w:tabs>
          <w:tab w:val="left" w:pos="1073"/>
        </w:tabs>
        <w:spacing w:after="240"/>
        <w:jc w:val="both"/>
        <w:rPr>
          <w:rFonts w:ascii="Verdana" w:hAnsi="Verdana"/>
          <w:sz w:val="20"/>
        </w:rPr>
      </w:pPr>
      <w:r w:rsidRPr="00F74310">
        <w:rPr>
          <w:rFonts w:ascii="Verdana" w:hAnsi="Verdana"/>
          <w:sz w:val="20"/>
        </w:rPr>
        <w:t>On completion of the project a fuller evaluation will be required.  This is to include photos, videos and write-up reports that can be used on Diocesan platforms to fulfil the implementation of the “Called Together” Framework.</w:t>
      </w:r>
    </w:p>
    <w:p w14:paraId="609E71C1" w14:textId="77777777" w:rsidR="0074444E" w:rsidRPr="00F74310" w:rsidRDefault="0074444E" w:rsidP="00DC0CFC">
      <w:pPr>
        <w:tabs>
          <w:tab w:val="left" w:pos="1073"/>
        </w:tabs>
        <w:spacing w:after="240"/>
        <w:jc w:val="both"/>
        <w:rPr>
          <w:rFonts w:ascii="Verdana" w:hAnsi="Verdana"/>
          <w:sz w:val="20"/>
        </w:rPr>
      </w:pPr>
    </w:p>
    <w:p w14:paraId="6DA07227" w14:textId="77777777" w:rsidR="00DF4429" w:rsidRDefault="00F74310" w:rsidP="00DC0CFC">
      <w:pPr>
        <w:tabs>
          <w:tab w:val="left" w:pos="1073"/>
        </w:tabs>
        <w:spacing w:after="240"/>
        <w:jc w:val="both"/>
        <w:rPr>
          <w:rFonts w:ascii="Verdana" w:hAnsi="Verdana"/>
          <w:bCs/>
          <w:sz w:val="20"/>
        </w:rPr>
      </w:pPr>
      <w:r w:rsidRPr="00F74310">
        <w:rPr>
          <w:rFonts w:ascii="Verdana" w:hAnsi="Verdana"/>
          <w:b/>
          <w:color w:val="C00000"/>
          <w:sz w:val="24"/>
          <w:szCs w:val="24"/>
        </w:rPr>
        <w:t>Application Deadlines for 202</w:t>
      </w:r>
      <w:r w:rsidR="00D145C3">
        <w:rPr>
          <w:rFonts w:ascii="Verdana" w:hAnsi="Verdana"/>
          <w:b/>
          <w:color w:val="C00000"/>
          <w:sz w:val="24"/>
          <w:szCs w:val="24"/>
        </w:rPr>
        <w:t>2</w:t>
      </w:r>
      <w:r w:rsidR="00C94154">
        <w:rPr>
          <w:rFonts w:ascii="Verdana" w:hAnsi="Verdana"/>
          <w:bCs/>
          <w:sz w:val="20"/>
        </w:rPr>
        <w:t xml:space="preserve">   </w:t>
      </w:r>
    </w:p>
    <w:p w14:paraId="3B81209D" w14:textId="4237B17A" w:rsidR="00F74310" w:rsidRPr="0074444E" w:rsidRDefault="00C94154" w:rsidP="00DC0CFC">
      <w:pPr>
        <w:tabs>
          <w:tab w:val="left" w:pos="1073"/>
        </w:tabs>
        <w:spacing w:after="240"/>
        <w:jc w:val="both"/>
        <w:rPr>
          <w:rFonts w:ascii="Verdana" w:hAnsi="Verdana"/>
          <w:bCs/>
          <w:color w:val="FF0000"/>
          <w:sz w:val="20"/>
        </w:rPr>
      </w:pPr>
      <w:r>
        <w:rPr>
          <w:rFonts w:ascii="Verdana" w:hAnsi="Verdana"/>
          <w:bCs/>
          <w:sz w:val="20"/>
        </w:rPr>
        <w:t xml:space="preserve">                                                                                                                                                                                                                                                                                                                                                                                                                                                                                                                                                                                                                                                                                                                                                                                                                                                                                                                                                                                                       </w:t>
      </w:r>
    </w:p>
    <w:tbl>
      <w:tblPr>
        <w:tblStyle w:val="TableGrid"/>
        <w:tblW w:w="0" w:type="auto"/>
        <w:tblLook w:val="04A0" w:firstRow="1" w:lastRow="0" w:firstColumn="1" w:lastColumn="0" w:noHBand="0" w:noVBand="1"/>
      </w:tblPr>
      <w:tblGrid>
        <w:gridCol w:w="4851"/>
        <w:gridCol w:w="4209"/>
      </w:tblGrid>
      <w:tr w:rsidR="00DF4429" w:rsidRPr="00DF4429" w14:paraId="4BE8363F" w14:textId="77777777" w:rsidTr="00DF4429">
        <w:tc>
          <w:tcPr>
            <w:tcW w:w="4851" w:type="dxa"/>
          </w:tcPr>
          <w:p w14:paraId="33E999B6" w14:textId="5111EF39" w:rsidR="00DF4429" w:rsidRPr="00DF4429" w:rsidRDefault="00DF4429" w:rsidP="00DF4429">
            <w:pPr>
              <w:tabs>
                <w:tab w:val="left" w:pos="1073"/>
              </w:tabs>
              <w:spacing w:after="240"/>
              <w:jc w:val="center"/>
              <w:rPr>
                <w:rFonts w:ascii="Verdana" w:hAnsi="Verdana"/>
                <w:b/>
                <w:sz w:val="20"/>
              </w:rPr>
            </w:pPr>
            <w:r w:rsidRPr="00DF4429">
              <w:rPr>
                <w:rFonts w:ascii="Verdana" w:hAnsi="Verdana"/>
                <w:b/>
                <w:sz w:val="20"/>
              </w:rPr>
              <w:t>APPLICATION DEADLINE</w:t>
            </w:r>
          </w:p>
        </w:tc>
        <w:tc>
          <w:tcPr>
            <w:tcW w:w="4209" w:type="dxa"/>
          </w:tcPr>
          <w:p w14:paraId="23BAAF6A" w14:textId="77DC3569" w:rsidR="00DF4429" w:rsidRPr="00DF4429" w:rsidRDefault="00DF4429" w:rsidP="00DF4429">
            <w:pPr>
              <w:tabs>
                <w:tab w:val="left" w:pos="1073"/>
              </w:tabs>
              <w:spacing w:after="240"/>
              <w:jc w:val="center"/>
              <w:rPr>
                <w:rFonts w:ascii="Verdana" w:hAnsi="Verdana"/>
                <w:b/>
                <w:sz w:val="20"/>
              </w:rPr>
            </w:pPr>
            <w:r w:rsidRPr="00DF4429">
              <w:rPr>
                <w:rFonts w:ascii="Verdana" w:hAnsi="Verdana"/>
                <w:b/>
                <w:sz w:val="20"/>
              </w:rPr>
              <w:t>PANEL MEETING</w:t>
            </w:r>
          </w:p>
        </w:tc>
      </w:tr>
      <w:tr w:rsidR="00DF4429" w:rsidRPr="00DF4429" w14:paraId="4ADD10E7" w14:textId="65A57124" w:rsidTr="00DF4429">
        <w:tc>
          <w:tcPr>
            <w:tcW w:w="4851" w:type="dxa"/>
          </w:tcPr>
          <w:p w14:paraId="6B05716B" w14:textId="3F484465" w:rsidR="00DF4429" w:rsidRPr="00DF4429" w:rsidRDefault="00DF4429" w:rsidP="00752B47">
            <w:pPr>
              <w:tabs>
                <w:tab w:val="left" w:pos="1073"/>
              </w:tabs>
              <w:spacing w:after="240"/>
              <w:jc w:val="both"/>
              <w:rPr>
                <w:rFonts w:ascii="Verdana" w:hAnsi="Verdana"/>
                <w:bCs/>
                <w:sz w:val="20"/>
              </w:rPr>
            </w:pPr>
            <w:r w:rsidRPr="00DF4429">
              <w:rPr>
                <w:rFonts w:ascii="Verdana" w:hAnsi="Verdana"/>
                <w:bCs/>
                <w:sz w:val="20"/>
              </w:rPr>
              <w:t>11</w:t>
            </w:r>
            <w:r w:rsidRPr="00DF4429">
              <w:rPr>
                <w:rFonts w:ascii="Verdana" w:hAnsi="Verdana"/>
                <w:bCs/>
                <w:sz w:val="20"/>
                <w:vertAlign w:val="superscript"/>
              </w:rPr>
              <w:t>th</w:t>
            </w:r>
            <w:r w:rsidRPr="00DF4429">
              <w:rPr>
                <w:rFonts w:ascii="Verdana" w:hAnsi="Verdana"/>
                <w:bCs/>
                <w:sz w:val="20"/>
              </w:rPr>
              <w:t xml:space="preserve"> March</w:t>
            </w:r>
          </w:p>
        </w:tc>
        <w:tc>
          <w:tcPr>
            <w:tcW w:w="4209" w:type="dxa"/>
          </w:tcPr>
          <w:p w14:paraId="16F24C12" w14:textId="4247BC10" w:rsidR="00DF4429" w:rsidRPr="00DF4429" w:rsidRDefault="00DF4429" w:rsidP="00752B47">
            <w:pPr>
              <w:tabs>
                <w:tab w:val="left" w:pos="1073"/>
              </w:tabs>
              <w:spacing w:after="240"/>
              <w:jc w:val="both"/>
              <w:rPr>
                <w:rFonts w:ascii="Verdana" w:hAnsi="Verdana"/>
                <w:bCs/>
                <w:sz w:val="20"/>
              </w:rPr>
            </w:pPr>
            <w:r>
              <w:rPr>
                <w:rFonts w:ascii="Verdana" w:hAnsi="Verdana"/>
                <w:bCs/>
                <w:sz w:val="20"/>
              </w:rPr>
              <w:t>23</w:t>
            </w:r>
            <w:r w:rsidRPr="00DF4429">
              <w:rPr>
                <w:rFonts w:ascii="Verdana" w:hAnsi="Verdana"/>
                <w:bCs/>
                <w:sz w:val="20"/>
                <w:vertAlign w:val="superscript"/>
              </w:rPr>
              <w:t>rd</w:t>
            </w:r>
            <w:r>
              <w:rPr>
                <w:rFonts w:ascii="Verdana" w:hAnsi="Verdana"/>
                <w:bCs/>
                <w:sz w:val="20"/>
              </w:rPr>
              <w:t xml:space="preserve"> March</w:t>
            </w:r>
          </w:p>
        </w:tc>
      </w:tr>
      <w:tr w:rsidR="00DF4429" w:rsidRPr="00DF4429" w14:paraId="74EF1E13" w14:textId="685D07C8" w:rsidTr="00DF4429">
        <w:tc>
          <w:tcPr>
            <w:tcW w:w="4851" w:type="dxa"/>
          </w:tcPr>
          <w:p w14:paraId="1DDE51A6" w14:textId="5FE4B740" w:rsidR="00DF4429" w:rsidRPr="00DF4429" w:rsidRDefault="00DF4429" w:rsidP="00752B47">
            <w:pPr>
              <w:tabs>
                <w:tab w:val="left" w:pos="1073"/>
              </w:tabs>
              <w:spacing w:after="240"/>
              <w:jc w:val="both"/>
              <w:rPr>
                <w:rFonts w:ascii="Verdana" w:hAnsi="Verdana"/>
                <w:bCs/>
                <w:sz w:val="20"/>
              </w:rPr>
            </w:pPr>
            <w:r w:rsidRPr="00DF4429">
              <w:rPr>
                <w:rFonts w:ascii="Verdana" w:hAnsi="Verdana"/>
                <w:bCs/>
                <w:sz w:val="20"/>
              </w:rPr>
              <w:t>1</w:t>
            </w:r>
            <w:r w:rsidRPr="00DF4429">
              <w:rPr>
                <w:rFonts w:ascii="Verdana" w:hAnsi="Verdana"/>
                <w:bCs/>
                <w:sz w:val="20"/>
                <w:vertAlign w:val="superscript"/>
              </w:rPr>
              <w:t>st</w:t>
            </w:r>
            <w:r w:rsidRPr="00DF4429">
              <w:rPr>
                <w:rFonts w:ascii="Verdana" w:hAnsi="Verdana"/>
                <w:bCs/>
                <w:sz w:val="20"/>
              </w:rPr>
              <w:t xml:space="preserve"> July </w:t>
            </w:r>
          </w:p>
        </w:tc>
        <w:tc>
          <w:tcPr>
            <w:tcW w:w="4209" w:type="dxa"/>
          </w:tcPr>
          <w:p w14:paraId="54007B2A" w14:textId="3B63EBB2" w:rsidR="00DF4429" w:rsidRPr="00DF4429" w:rsidRDefault="00DF4429" w:rsidP="00752B47">
            <w:pPr>
              <w:tabs>
                <w:tab w:val="left" w:pos="1073"/>
              </w:tabs>
              <w:spacing w:after="240"/>
              <w:jc w:val="both"/>
              <w:rPr>
                <w:rFonts w:ascii="Verdana" w:hAnsi="Verdana"/>
                <w:bCs/>
                <w:sz w:val="20"/>
              </w:rPr>
            </w:pPr>
            <w:r>
              <w:rPr>
                <w:rFonts w:ascii="Verdana" w:hAnsi="Verdana"/>
                <w:bCs/>
                <w:sz w:val="20"/>
              </w:rPr>
              <w:t>6</w:t>
            </w:r>
            <w:r w:rsidRPr="00DF4429">
              <w:rPr>
                <w:rFonts w:ascii="Verdana" w:hAnsi="Verdana"/>
                <w:bCs/>
                <w:sz w:val="20"/>
                <w:vertAlign w:val="superscript"/>
              </w:rPr>
              <w:t>th</w:t>
            </w:r>
            <w:r>
              <w:rPr>
                <w:rFonts w:ascii="Verdana" w:hAnsi="Verdana"/>
                <w:bCs/>
                <w:sz w:val="20"/>
              </w:rPr>
              <w:t xml:space="preserve"> July</w:t>
            </w:r>
          </w:p>
        </w:tc>
      </w:tr>
      <w:tr w:rsidR="00DF4429" w:rsidRPr="00DF4429" w14:paraId="03D38D3C" w14:textId="3181EF99" w:rsidTr="00DF4429">
        <w:tc>
          <w:tcPr>
            <w:tcW w:w="4851" w:type="dxa"/>
          </w:tcPr>
          <w:p w14:paraId="1461B7C4" w14:textId="645708B6" w:rsidR="00DF4429" w:rsidRPr="00DF4429" w:rsidRDefault="00DF4429" w:rsidP="00752B47">
            <w:pPr>
              <w:tabs>
                <w:tab w:val="left" w:pos="1073"/>
              </w:tabs>
              <w:spacing w:after="240"/>
              <w:jc w:val="both"/>
              <w:rPr>
                <w:rFonts w:ascii="Verdana" w:hAnsi="Verdana"/>
                <w:bCs/>
                <w:sz w:val="20"/>
              </w:rPr>
            </w:pPr>
            <w:r w:rsidRPr="00DF4429">
              <w:rPr>
                <w:rFonts w:ascii="Verdana" w:hAnsi="Verdana"/>
                <w:bCs/>
                <w:sz w:val="20"/>
              </w:rPr>
              <w:t>16</w:t>
            </w:r>
            <w:r w:rsidRPr="00DF4429">
              <w:rPr>
                <w:rFonts w:ascii="Verdana" w:hAnsi="Verdana"/>
                <w:bCs/>
                <w:sz w:val="20"/>
                <w:vertAlign w:val="superscript"/>
              </w:rPr>
              <w:t>th</w:t>
            </w:r>
            <w:r w:rsidRPr="00DF4429">
              <w:rPr>
                <w:rFonts w:ascii="Verdana" w:hAnsi="Verdana"/>
                <w:bCs/>
                <w:sz w:val="20"/>
              </w:rPr>
              <w:t xml:space="preserve"> September  </w:t>
            </w:r>
          </w:p>
        </w:tc>
        <w:tc>
          <w:tcPr>
            <w:tcW w:w="4209" w:type="dxa"/>
          </w:tcPr>
          <w:p w14:paraId="60D1854A" w14:textId="2762B1D5" w:rsidR="00DF4429" w:rsidRPr="00DF4429" w:rsidRDefault="00DF4429" w:rsidP="00752B47">
            <w:pPr>
              <w:tabs>
                <w:tab w:val="left" w:pos="1073"/>
              </w:tabs>
              <w:spacing w:after="240"/>
              <w:jc w:val="both"/>
              <w:rPr>
                <w:rFonts w:ascii="Verdana" w:hAnsi="Verdana"/>
                <w:bCs/>
                <w:sz w:val="20"/>
              </w:rPr>
            </w:pPr>
            <w:r>
              <w:rPr>
                <w:rFonts w:ascii="Verdana" w:hAnsi="Verdana"/>
                <w:bCs/>
                <w:sz w:val="20"/>
              </w:rPr>
              <w:t>27</w:t>
            </w:r>
            <w:r w:rsidRPr="00DF4429">
              <w:rPr>
                <w:rFonts w:ascii="Verdana" w:hAnsi="Verdana"/>
                <w:bCs/>
                <w:sz w:val="20"/>
                <w:vertAlign w:val="superscript"/>
              </w:rPr>
              <w:t>th</w:t>
            </w:r>
            <w:r>
              <w:rPr>
                <w:rFonts w:ascii="Verdana" w:hAnsi="Verdana"/>
                <w:bCs/>
                <w:sz w:val="20"/>
              </w:rPr>
              <w:t xml:space="preserve"> September</w:t>
            </w:r>
          </w:p>
        </w:tc>
      </w:tr>
      <w:tr w:rsidR="00DF4429" w:rsidRPr="00DF4429" w14:paraId="0BB3C527" w14:textId="60F35760" w:rsidTr="00DF4429">
        <w:tc>
          <w:tcPr>
            <w:tcW w:w="4851" w:type="dxa"/>
          </w:tcPr>
          <w:p w14:paraId="65DDDEA8" w14:textId="6F9BE82A" w:rsidR="00DF4429" w:rsidRPr="00DF4429" w:rsidRDefault="00DF4429" w:rsidP="00752B47">
            <w:pPr>
              <w:tabs>
                <w:tab w:val="left" w:pos="1073"/>
              </w:tabs>
              <w:spacing w:after="240"/>
              <w:jc w:val="both"/>
              <w:rPr>
                <w:rFonts w:ascii="Verdana" w:hAnsi="Verdana"/>
                <w:bCs/>
                <w:sz w:val="20"/>
              </w:rPr>
            </w:pPr>
            <w:r w:rsidRPr="00DF4429">
              <w:rPr>
                <w:rFonts w:ascii="Verdana" w:hAnsi="Verdana"/>
                <w:bCs/>
                <w:sz w:val="20"/>
              </w:rPr>
              <w:t>25</w:t>
            </w:r>
            <w:r w:rsidRPr="00DF4429">
              <w:rPr>
                <w:rFonts w:ascii="Verdana" w:hAnsi="Verdana"/>
                <w:bCs/>
                <w:sz w:val="20"/>
                <w:vertAlign w:val="superscript"/>
              </w:rPr>
              <w:t>th</w:t>
            </w:r>
            <w:r w:rsidRPr="00DF4429">
              <w:rPr>
                <w:rFonts w:ascii="Verdana" w:hAnsi="Verdana"/>
                <w:bCs/>
                <w:sz w:val="20"/>
              </w:rPr>
              <w:t xml:space="preserve"> November </w:t>
            </w:r>
          </w:p>
        </w:tc>
        <w:tc>
          <w:tcPr>
            <w:tcW w:w="4209" w:type="dxa"/>
          </w:tcPr>
          <w:p w14:paraId="726BE280" w14:textId="69A5AAD5" w:rsidR="00DF4429" w:rsidRPr="00DF4429" w:rsidRDefault="00DF4429" w:rsidP="00752B47">
            <w:pPr>
              <w:tabs>
                <w:tab w:val="left" w:pos="1073"/>
              </w:tabs>
              <w:spacing w:after="240"/>
              <w:jc w:val="both"/>
              <w:rPr>
                <w:rFonts w:ascii="Verdana" w:hAnsi="Verdana"/>
                <w:bCs/>
                <w:sz w:val="20"/>
              </w:rPr>
            </w:pPr>
            <w:r>
              <w:rPr>
                <w:rFonts w:ascii="Verdana" w:hAnsi="Verdana"/>
                <w:bCs/>
                <w:sz w:val="20"/>
              </w:rPr>
              <w:t>6</w:t>
            </w:r>
            <w:r w:rsidRPr="00DF4429">
              <w:rPr>
                <w:rFonts w:ascii="Verdana" w:hAnsi="Verdana"/>
                <w:bCs/>
                <w:sz w:val="20"/>
                <w:vertAlign w:val="superscript"/>
              </w:rPr>
              <w:t>th</w:t>
            </w:r>
            <w:r>
              <w:rPr>
                <w:rFonts w:ascii="Verdana" w:hAnsi="Verdana"/>
                <w:bCs/>
                <w:sz w:val="20"/>
              </w:rPr>
              <w:t xml:space="preserve"> December</w:t>
            </w:r>
          </w:p>
        </w:tc>
      </w:tr>
    </w:tbl>
    <w:p w14:paraId="5C3DCEB9" w14:textId="77777777" w:rsidR="00C0558D" w:rsidRDefault="00C0558D" w:rsidP="00DC0CFC">
      <w:pPr>
        <w:tabs>
          <w:tab w:val="left" w:pos="1073"/>
        </w:tabs>
        <w:spacing w:after="240"/>
        <w:jc w:val="both"/>
        <w:rPr>
          <w:rFonts w:ascii="Verdana" w:hAnsi="Verdana"/>
          <w:bCs/>
          <w:sz w:val="20"/>
        </w:rPr>
      </w:pPr>
    </w:p>
    <w:p w14:paraId="6EFA1F12" w14:textId="3E1F9256" w:rsidR="003B660D" w:rsidRPr="00C0558D" w:rsidRDefault="003B660D" w:rsidP="00DC0CFC">
      <w:pPr>
        <w:tabs>
          <w:tab w:val="left" w:pos="1073"/>
        </w:tabs>
        <w:spacing w:after="240"/>
        <w:jc w:val="both"/>
        <w:rPr>
          <w:rFonts w:ascii="Verdana" w:hAnsi="Verdana"/>
          <w:bCs/>
          <w:sz w:val="20"/>
        </w:rPr>
      </w:pPr>
      <w:r w:rsidRPr="00C0558D">
        <w:rPr>
          <w:rFonts w:ascii="Verdana" w:hAnsi="Verdana"/>
          <w:bCs/>
          <w:sz w:val="20"/>
        </w:rPr>
        <w:t>Fast Track Applications can be submitted at any stage of the year</w:t>
      </w:r>
    </w:p>
    <w:sectPr w:rsidR="003B660D" w:rsidRPr="00C0558D" w:rsidSect="00E34552">
      <w:headerReference w:type="default" r:id="rId12"/>
      <w:footerReference w:type="even" r:id="rId13"/>
      <w:footerReference w:type="default" r:id="rId14"/>
      <w:headerReference w:type="first" r:id="rId15"/>
      <w:footerReference w:type="first" r:id="rId16"/>
      <w:pgSz w:w="11906" w:h="16838" w:code="9"/>
      <w:pgMar w:top="1435" w:right="1418" w:bottom="1985"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078E4" w14:textId="77777777" w:rsidR="00D029B5" w:rsidRDefault="00D029B5" w:rsidP="003A4C5D">
      <w:r>
        <w:separator/>
      </w:r>
    </w:p>
  </w:endnote>
  <w:endnote w:type="continuationSeparator" w:id="0">
    <w:p w14:paraId="7C500E1A" w14:textId="77777777" w:rsidR="00D029B5" w:rsidRDefault="00D029B5" w:rsidP="003A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2065041"/>
      <w:docPartObj>
        <w:docPartGallery w:val="Page Numbers (Bottom of Page)"/>
        <w:docPartUnique/>
      </w:docPartObj>
    </w:sdtPr>
    <w:sdtEndPr>
      <w:rPr>
        <w:rStyle w:val="PageNumber"/>
      </w:rPr>
    </w:sdtEndPr>
    <w:sdtContent>
      <w:p w14:paraId="53E4ED98" w14:textId="74E88B44" w:rsidR="00025D3F" w:rsidRDefault="00025D3F" w:rsidP="00293D1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02CFA6" w14:textId="77777777" w:rsidR="00025D3F" w:rsidRDefault="00025D3F" w:rsidP="00025D3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7990791"/>
      <w:docPartObj>
        <w:docPartGallery w:val="Page Numbers (Bottom of Page)"/>
        <w:docPartUnique/>
      </w:docPartObj>
    </w:sdtPr>
    <w:sdtEndPr>
      <w:rPr>
        <w:rStyle w:val="PageNumber"/>
      </w:rPr>
    </w:sdtEndPr>
    <w:sdtContent>
      <w:p w14:paraId="295CBA76" w14:textId="42498C55" w:rsidR="00025D3F" w:rsidRDefault="00025D3F" w:rsidP="00293D1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D1E9591" w14:textId="04886ED7" w:rsidR="00025D3F" w:rsidRDefault="00025D3F" w:rsidP="00025D3F">
    <w:pPr>
      <w:pStyle w:val="Footer"/>
      <w:ind w:firstLine="360"/>
    </w:pPr>
    <w:r>
      <w:rPr>
        <w:noProof/>
      </w:rPr>
      <w:drawing>
        <wp:anchor distT="0" distB="0" distL="114300" distR="114300" simplePos="0" relativeHeight="251664896" behindDoc="0" locked="0" layoutInCell="1" allowOverlap="1" wp14:anchorId="0110E9D4" wp14:editId="574F7945">
          <wp:simplePos x="0" y="0"/>
          <wp:positionH relativeFrom="column">
            <wp:posOffset>-1386088</wp:posOffset>
          </wp:positionH>
          <wp:positionV relativeFrom="paragraph">
            <wp:posOffset>-529131</wp:posOffset>
          </wp:positionV>
          <wp:extent cx="8081720" cy="1127366"/>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8081720" cy="1127366"/>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D36E1" w14:textId="405AE0E5" w:rsidR="00025D3F" w:rsidRDefault="00025D3F">
    <w:pPr>
      <w:pStyle w:val="Footer"/>
    </w:pPr>
    <w:r>
      <w:rPr>
        <w:noProof/>
      </w:rPr>
      <w:drawing>
        <wp:anchor distT="0" distB="0" distL="114300" distR="114300" simplePos="0" relativeHeight="251661824" behindDoc="0" locked="0" layoutInCell="1" allowOverlap="1" wp14:anchorId="79728F26" wp14:editId="4E7D3F47">
          <wp:simplePos x="0" y="0"/>
          <wp:positionH relativeFrom="column">
            <wp:posOffset>-900113</wp:posOffset>
          </wp:positionH>
          <wp:positionV relativeFrom="paragraph">
            <wp:posOffset>-665318</wp:posOffset>
          </wp:positionV>
          <wp:extent cx="7566741" cy="1259004"/>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566741" cy="125900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212E5" w14:textId="77777777" w:rsidR="00D029B5" w:rsidRDefault="00D029B5" w:rsidP="003A4C5D">
      <w:r>
        <w:separator/>
      </w:r>
    </w:p>
  </w:footnote>
  <w:footnote w:type="continuationSeparator" w:id="0">
    <w:p w14:paraId="7CDCCBBA" w14:textId="77777777" w:rsidR="00D029B5" w:rsidRDefault="00D029B5" w:rsidP="003A4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CDE6" w14:textId="02DCA0CB" w:rsidR="004B76F9" w:rsidRDefault="00025D3F">
    <w:pPr>
      <w:pStyle w:val="Header"/>
    </w:pPr>
    <w:r>
      <w:rPr>
        <w:noProof/>
      </w:rPr>
      <w:drawing>
        <wp:anchor distT="0" distB="0" distL="114300" distR="114300" simplePos="0" relativeHeight="251663872" behindDoc="0" locked="0" layoutInCell="1" allowOverlap="1" wp14:anchorId="65114F2E" wp14:editId="06E4463C">
          <wp:simplePos x="0" y="0"/>
          <wp:positionH relativeFrom="column">
            <wp:posOffset>-919884</wp:posOffset>
          </wp:positionH>
          <wp:positionV relativeFrom="paragraph">
            <wp:posOffset>-450215</wp:posOffset>
          </wp:positionV>
          <wp:extent cx="7558973" cy="24137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58973" cy="24137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9216" w14:textId="596AED28" w:rsidR="004B76F9" w:rsidRDefault="003044A1">
    <w:pPr>
      <w:pStyle w:val="Header"/>
    </w:pPr>
    <w:r>
      <w:rPr>
        <w:noProof/>
      </w:rPr>
      <w:drawing>
        <wp:anchor distT="0" distB="0" distL="114300" distR="114300" simplePos="0" relativeHeight="251659776" behindDoc="0" locked="0" layoutInCell="1" allowOverlap="1" wp14:anchorId="7618F783" wp14:editId="4C581122">
          <wp:simplePos x="0" y="0"/>
          <wp:positionH relativeFrom="column">
            <wp:posOffset>-890701</wp:posOffset>
          </wp:positionH>
          <wp:positionV relativeFrom="paragraph">
            <wp:posOffset>-440487</wp:posOffset>
          </wp:positionV>
          <wp:extent cx="7558973" cy="241379"/>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
                  <a:stretch>
                    <a:fillRect/>
                  </a:stretch>
                </pic:blipFill>
                <pic:spPr>
                  <a:xfrm>
                    <a:off x="0" y="0"/>
                    <a:ext cx="7558973" cy="2413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53251"/>
    <w:multiLevelType w:val="hybridMultilevel"/>
    <w:tmpl w:val="FEFA5700"/>
    <w:lvl w:ilvl="0" w:tplc="FAD2EDAC">
      <w:numFmt w:val="bullet"/>
      <w:lvlText w:val="•"/>
      <w:lvlJc w:val="left"/>
      <w:pPr>
        <w:ind w:left="1080" w:hanging="720"/>
      </w:pPr>
      <w:rPr>
        <w:rFonts w:ascii="Century Gothic" w:eastAsia="Times New Roman" w:hAnsi="Century Gothic"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6669FA"/>
    <w:multiLevelType w:val="hybridMultilevel"/>
    <w:tmpl w:val="C1B4CB60"/>
    <w:lvl w:ilvl="0" w:tplc="E5CA2166">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AE15A6"/>
    <w:multiLevelType w:val="multilevel"/>
    <w:tmpl w:val="F8F2081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9D77C1"/>
    <w:multiLevelType w:val="hybridMultilevel"/>
    <w:tmpl w:val="62FA8134"/>
    <w:lvl w:ilvl="0" w:tplc="820EF152">
      <w:numFmt w:val="bullet"/>
      <w:lvlText w:val="•"/>
      <w:lvlJc w:val="left"/>
      <w:pPr>
        <w:tabs>
          <w:tab w:val="num" w:pos="57"/>
        </w:tabs>
        <w:ind w:left="56" w:hanging="56"/>
      </w:pPr>
      <w:rPr>
        <w:rFonts w:ascii="Verdana" w:eastAsia="Calibri" w:hAnsi="Verdana" w:cs="Arial" w:hint="default"/>
        <w:color w:val="991632"/>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50D25017"/>
    <w:multiLevelType w:val="hybridMultilevel"/>
    <w:tmpl w:val="775A3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2E4D9B"/>
    <w:multiLevelType w:val="hybridMultilevel"/>
    <w:tmpl w:val="EBFA77E4"/>
    <w:lvl w:ilvl="0" w:tplc="A14C6726">
      <w:numFmt w:val="bullet"/>
      <w:lvlText w:val="•"/>
      <w:lvlJc w:val="left"/>
      <w:pPr>
        <w:ind w:left="482" w:hanging="122"/>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DB3922"/>
    <w:multiLevelType w:val="hybridMultilevel"/>
    <w:tmpl w:val="1A50CEA2"/>
    <w:lvl w:ilvl="0" w:tplc="0809001B">
      <w:start w:val="1"/>
      <w:numFmt w:val="lowerRoman"/>
      <w:lvlText w:val="%1."/>
      <w:lvlJc w:val="righ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81314C8"/>
    <w:multiLevelType w:val="hybridMultilevel"/>
    <w:tmpl w:val="DD0E1FF8"/>
    <w:lvl w:ilvl="0" w:tplc="0B483330">
      <w:start w:val="1"/>
      <w:numFmt w:val="decimal"/>
      <w:lvlText w:val="%1."/>
      <w:lvlJc w:val="left"/>
      <w:pPr>
        <w:tabs>
          <w:tab w:val="num" w:pos="900"/>
        </w:tabs>
        <w:ind w:left="900" w:hanging="540"/>
      </w:pPr>
    </w:lvl>
    <w:lvl w:ilvl="1" w:tplc="DA5480FE">
      <w:start w:val="1"/>
      <w:numFmt w:val="lowerLetter"/>
      <w:lvlText w:val="(%2)"/>
      <w:lvlJc w:val="left"/>
      <w:pPr>
        <w:tabs>
          <w:tab w:val="num" w:pos="1620"/>
        </w:tabs>
        <w:ind w:left="1620" w:hanging="54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5C765A23"/>
    <w:multiLevelType w:val="hybridMultilevel"/>
    <w:tmpl w:val="8A10EC8A"/>
    <w:lvl w:ilvl="0" w:tplc="62F0E6D2">
      <w:numFmt w:val="bullet"/>
      <w:lvlText w:val="•"/>
      <w:lvlJc w:val="left"/>
      <w:pPr>
        <w:ind w:left="482" w:hanging="198"/>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356770"/>
    <w:multiLevelType w:val="hybridMultilevel"/>
    <w:tmpl w:val="13F856A4"/>
    <w:lvl w:ilvl="0" w:tplc="F46EDAAE">
      <w:numFmt w:val="bullet"/>
      <w:lvlText w:val="•"/>
      <w:lvlJc w:val="left"/>
      <w:pPr>
        <w:ind w:left="340" w:hanging="56"/>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2833A4"/>
    <w:multiLevelType w:val="hybridMultilevel"/>
    <w:tmpl w:val="65307736"/>
    <w:lvl w:ilvl="0" w:tplc="05F000F8">
      <w:numFmt w:val="bullet"/>
      <w:lvlText w:val="•"/>
      <w:lvlJc w:val="left"/>
      <w:pPr>
        <w:ind w:left="720" w:hanging="360"/>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8164D"/>
    <w:multiLevelType w:val="hybridMultilevel"/>
    <w:tmpl w:val="7C3C6C6A"/>
    <w:lvl w:ilvl="0" w:tplc="05F000F8">
      <w:numFmt w:val="bullet"/>
      <w:lvlText w:val="•"/>
      <w:lvlJc w:val="left"/>
      <w:pPr>
        <w:ind w:left="720" w:hanging="360"/>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FF005E"/>
    <w:multiLevelType w:val="multilevel"/>
    <w:tmpl w:val="94A6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0"/>
  </w:num>
  <w:num w:numId="6">
    <w:abstractNumId w:val="5"/>
  </w:num>
  <w:num w:numId="7">
    <w:abstractNumId w:val="11"/>
  </w:num>
  <w:num w:numId="8">
    <w:abstractNumId w:val="8"/>
  </w:num>
  <w:num w:numId="9">
    <w:abstractNumId w:val="9"/>
  </w:num>
  <w:num w:numId="10">
    <w:abstractNumId w:val="3"/>
  </w:num>
  <w:num w:numId="11">
    <w:abstractNumId w:val="12"/>
  </w:num>
  <w:num w:numId="12">
    <w:abstractNumId w:val="2"/>
  </w:num>
  <w:num w:numId="13">
    <w:abstractNumId w:val="1"/>
  </w:num>
  <w:num w:numId="1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7"/>
    <w:rsid w:val="00007D46"/>
    <w:rsid w:val="000216F9"/>
    <w:rsid w:val="00025D3F"/>
    <w:rsid w:val="000368F0"/>
    <w:rsid w:val="00054863"/>
    <w:rsid w:val="00056E1D"/>
    <w:rsid w:val="00060187"/>
    <w:rsid w:val="0006241D"/>
    <w:rsid w:val="00063D7C"/>
    <w:rsid w:val="00092015"/>
    <w:rsid w:val="000A2344"/>
    <w:rsid w:val="000B2A61"/>
    <w:rsid w:val="000C35B0"/>
    <w:rsid w:val="000C6021"/>
    <w:rsid w:val="000D6AC5"/>
    <w:rsid w:val="000E4E21"/>
    <w:rsid w:val="000E6C24"/>
    <w:rsid w:val="00102C1A"/>
    <w:rsid w:val="00125900"/>
    <w:rsid w:val="001329FA"/>
    <w:rsid w:val="00136F00"/>
    <w:rsid w:val="001518C5"/>
    <w:rsid w:val="00163642"/>
    <w:rsid w:val="0019521F"/>
    <w:rsid w:val="001A0EEB"/>
    <w:rsid w:val="001B6C6E"/>
    <w:rsid w:val="001C1891"/>
    <w:rsid w:val="001C2197"/>
    <w:rsid w:val="001D6A1C"/>
    <w:rsid w:val="001E2E70"/>
    <w:rsid w:val="001E549C"/>
    <w:rsid w:val="00232593"/>
    <w:rsid w:val="0024364F"/>
    <w:rsid w:val="00283188"/>
    <w:rsid w:val="0029313C"/>
    <w:rsid w:val="002B141C"/>
    <w:rsid w:val="002D775B"/>
    <w:rsid w:val="002F0022"/>
    <w:rsid w:val="003044A1"/>
    <w:rsid w:val="0031033E"/>
    <w:rsid w:val="00334EE6"/>
    <w:rsid w:val="00335A66"/>
    <w:rsid w:val="00340D2E"/>
    <w:rsid w:val="003418F6"/>
    <w:rsid w:val="003424CC"/>
    <w:rsid w:val="00375858"/>
    <w:rsid w:val="00382549"/>
    <w:rsid w:val="003A4C5D"/>
    <w:rsid w:val="003A5890"/>
    <w:rsid w:val="003B660D"/>
    <w:rsid w:val="003E7079"/>
    <w:rsid w:val="003F6DCB"/>
    <w:rsid w:val="004222B7"/>
    <w:rsid w:val="00430F0A"/>
    <w:rsid w:val="004575B5"/>
    <w:rsid w:val="00466976"/>
    <w:rsid w:val="00466DE8"/>
    <w:rsid w:val="0048318E"/>
    <w:rsid w:val="004A1FB8"/>
    <w:rsid w:val="004B6045"/>
    <w:rsid w:val="004B76F9"/>
    <w:rsid w:val="004D2A8F"/>
    <w:rsid w:val="004E4AEE"/>
    <w:rsid w:val="004F2ECE"/>
    <w:rsid w:val="00503742"/>
    <w:rsid w:val="00507E5E"/>
    <w:rsid w:val="005203C4"/>
    <w:rsid w:val="00555E1C"/>
    <w:rsid w:val="00564E31"/>
    <w:rsid w:val="0059175F"/>
    <w:rsid w:val="00597AA1"/>
    <w:rsid w:val="005D1EF4"/>
    <w:rsid w:val="005F54CE"/>
    <w:rsid w:val="006037F9"/>
    <w:rsid w:val="006126EB"/>
    <w:rsid w:val="00623E54"/>
    <w:rsid w:val="00635B09"/>
    <w:rsid w:val="00647667"/>
    <w:rsid w:val="0064787F"/>
    <w:rsid w:val="0065007A"/>
    <w:rsid w:val="00655B45"/>
    <w:rsid w:val="00665595"/>
    <w:rsid w:val="00673B69"/>
    <w:rsid w:val="006755F8"/>
    <w:rsid w:val="00677E34"/>
    <w:rsid w:val="00680FDD"/>
    <w:rsid w:val="00691B86"/>
    <w:rsid w:val="00692C3D"/>
    <w:rsid w:val="006C3ACA"/>
    <w:rsid w:val="006E5CC4"/>
    <w:rsid w:val="0070477F"/>
    <w:rsid w:val="0071450F"/>
    <w:rsid w:val="00733072"/>
    <w:rsid w:val="0074023D"/>
    <w:rsid w:val="00740E0D"/>
    <w:rsid w:val="00741B29"/>
    <w:rsid w:val="0074444E"/>
    <w:rsid w:val="00744D07"/>
    <w:rsid w:val="00762C96"/>
    <w:rsid w:val="007B2041"/>
    <w:rsid w:val="00802DC5"/>
    <w:rsid w:val="00812A58"/>
    <w:rsid w:val="0082071A"/>
    <w:rsid w:val="00833BF4"/>
    <w:rsid w:val="008474B2"/>
    <w:rsid w:val="00853730"/>
    <w:rsid w:val="008944FC"/>
    <w:rsid w:val="008B5436"/>
    <w:rsid w:val="008B62D2"/>
    <w:rsid w:val="008D14DE"/>
    <w:rsid w:val="008E166F"/>
    <w:rsid w:val="00923C0A"/>
    <w:rsid w:val="0092590E"/>
    <w:rsid w:val="00943F47"/>
    <w:rsid w:val="00964AA5"/>
    <w:rsid w:val="00970BCF"/>
    <w:rsid w:val="00984C59"/>
    <w:rsid w:val="00991C7E"/>
    <w:rsid w:val="00996E19"/>
    <w:rsid w:val="009C7BD6"/>
    <w:rsid w:val="009E43FD"/>
    <w:rsid w:val="009E6B6E"/>
    <w:rsid w:val="009F3ABB"/>
    <w:rsid w:val="00A048C3"/>
    <w:rsid w:val="00A15260"/>
    <w:rsid w:val="00A15A65"/>
    <w:rsid w:val="00A17229"/>
    <w:rsid w:val="00A26E5F"/>
    <w:rsid w:val="00A3088F"/>
    <w:rsid w:val="00A7031B"/>
    <w:rsid w:val="00A758A7"/>
    <w:rsid w:val="00A94B35"/>
    <w:rsid w:val="00AA1BB7"/>
    <w:rsid w:val="00AA3D0E"/>
    <w:rsid w:val="00AD048C"/>
    <w:rsid w:val="00AE1986"/>
    <w:rsid w:val="00AF2543"/>
    <w:rsid w:val="00B3089D"/>
    <w:rsid w:val="00B31FC3"/>
    <w:rsid w:val="00B37B1F"/>
    <w:rsid w:val="00B45EEB"/>
    <w:rsid w:val="00B56941"/>
    <w:rsid w:val="00B80CB5"/>
    <w:rsid w:val="00B911E3"/>
    <w:rsid w:val="00B922A7"/>
    <w:rsid w:val="00B92639"/>
    <w:rsid w:val="00BB51AA"/>
    <w:rsid w:val="00BC5ACF"/>
    <w:rsid w:val="00C029ED"/>
    <w:rsid w:val="00C0558D"/>
    <w:rsid w:val="00C23174"/>
    <w:rsid w:val="00C23AAD"/>
    <w:rsid w:val="00C23E84"/>
    <w:rsid w:val="00C519AB"/>
    <w:rsid w:val="00C555A7"/>
    <w:rsid w:val="00C56D7E"/>
    <w:rsid w:val="00C77F3E"/>
    <w:rsid w:val="00C803C4"/>
    <w:rsid w:val="00C94154"/>
    <w:rsid w:val="00C96E68"/>
    <w:rsid w:val="00CB0D7E"/>
    <w:rsid w:val="00CC18A0"/>
    <w:rsid w:val="00CD70F3"/>
    <w:rsid w:val="00CF00A7"/>
    <w:rsid w:val="00D029B5"/>
    <w:rsid w:val="00D13EED"/>
    <w:rsid w:val="00D145C3"/>
    <w:rsid w:val="00D17323"/>
    <w:rsid w:val="00D404B4"/>
    <w:rsid w:val="00D66C79"/>
    <w:rsid w:val="00D82202"/>
    <w:rsid w:val="00D90905"/>
    <w:rsid w:val="00D917B5"/>
    <w:rsid w:val="00DB3298"/>
    <w:rsid w:val="00DB6A25"/>
    <w:rsid w:val="00DC0CFC"/>
    <w:rsid w:val="00DC7297"/>
    <w:rsid w:val="00DD09B7"/>
    <w:rsid w:val="00DF4429"/>
    <w:rsid w:val="00E05FB1"/>
    <w:rsid w:val="00E07784"/>
    <w:rsid w:val="00E12462"/>
    <w:rsid w:val="00E17D80"/>
    <w:rsid w:val="00E237DC"/>
    <w:rsid w:val="00E33DEF"/>
    <w:rsid w:val="00E34552"/>
    <w:rsid w:val="00E73633"/>
    <w:rsid w:val="00E77F79"/>
    <w:rsid w:val="00EA4515"/>
    <w:rsid w:val="00EC3E6C"/>
    <w:rsid w:val="00F0039F"/>
    <w:rsid w:val="00F0650B"/>
    <w:rsid w:val="00F23C62"/>
    <w:rsid w:val="00F366D0"/>
    <w:rsid w:val="00F36966"/>
    <w:rsid w:val="00F70910"/>
    <w:rsid w:val="00F70A17"/>
    <w:rsid w:val="00F74310"/>
    <w:rsid w:val="00F9359E"/>
    <w:rsid w:val="00FE0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CD6631E"/>
  <w15:docId w15:val="{61A46736-8471-4C15-A047-5CC128F2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88F"/>
    <w:rPr>
      <w:rFonts w:ascii="Tahoma" w:hAnsi="Tahoma" w:cs="Arial"/>
      <w:sz w:val="22"/>
      <w:lang w:eastAsia="en-US"/>
    </w:rPr>
  </w:style>
  <w:style w:type="paragraph" w:styleId="Heading1">
    <w:name w:val="heading 1"/>
    <w:basedOn w:val="Normal"/>
    <w:next w:val="Normal"/>
    <w:link w:val="Heading1Char"/>
    <w:qFormat/>
    <w:locked/>
    <w:rsid w:val="00054863"/>
    <w:pPr>
      <w:keepNext/>
      <w:jc w:val="both"/>
      <w:outlineLvl w:val="0"/>
    </w:pPr>
    <w:rPr>
      <w:rFonts w:ascii="Arial" w:eastAsia="Times New Roman" w:hAnsi="Arial"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chesterFooter">
    <w:name w:val="Rochester Footer"/>
    <w:basedOn w:val="Footer"/>
    <w:uiPriority w:val="99"/>
    <w:rsid w:val="003E7079"/>
    <w:pPr>
      <w:spacing w:after="60"/>
      <w:contextualSpacing/>
      <w:jc w:val="center"/>
    </w:pPr>
    <w:rPr>
      <w:noProof/>
      <w:sz w:val="18"/>
      <w:szCs w:val="18"/>
      <w:lang w:eastAsia="en-GB"/>
    </w:rPr>
  </w:style>
  <w:style w:type="paragraph" w:customStyle="1" w:styleId="RochesterFooterSmall">
    <w:name w:val="Rochester Footer (Small)"/>
    <w:basedOn w:val="RochesterFooter"/>
    <w:uiPriority w:val="99"/>
    <w:rsid w:val="003E7079"/>
    <w:pPr>
      <w:spacing w:line="160" w:lineRule="atLeast"/>
    </w:pPr>
    <w:rPr>
      <w:sz w:val="12"/>
      <w:szCs w:val="12"/>
    </w:rPr>
  </w:style>
  <w:style w:type="table" w:styleId="TableGrid">
    <w:name w:val="Table Grid"/>
    <w:basedOn w:val="TableNormal"/>
    <w:uiPriority w:val="99"/>
    <w:rsid w:val="003E7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chesterNormal">
    <w:name w:val="Rochester Normal"/>
    <w:basedOn w:val="Normal"/>
    <w:uiPriority w:val="99"/>
    <w:rsid w:val="003E7079"/>
  </w:style>
  <w:style w:type="paragraph" w:styleId="Header">
    <w:name w:val="header"/>
    <w:basedOn w:val="Normal"/>
    <w:link w:val="HeaderChar"/>
    <w:uiPriority w:val="99"/>
    <w:semiHidden/>
    <w:rsid w:val="003A4C5D"/>
    <w:pPr>
      <w:tabs>
        <w:tab w:val="center" w:pos="4513"/>
        <w:tab w:val="right" w:pos="9026"/>
      </w:tabs>
    </w:pPr>
  </w:style>
  <w:style w:type="character" w:customStyle="1" w:styleId="HeaderChar">
    <w:name w:val="Header Char"/>
    <w:link w:val="Header"/>
    <w:uiPriority w:val="99"/>
    <w:semiHidden/>
    <w:locked/>
    <w:rsid w:val="00A3088F"/>
    <w:rPr>
      <w:rFonts w:ascii="Arial" w:hAnsi="Arial" w:cs="Arial"/>
    </w:rPr>
  </w:style>
  <w:style w:type="paragraph" w:styleId="Footer">
    <w:name w:val="footer"/>
    <w:basedOn w:val="Normal"/>
    <w:link w:val="FooterChar"/>
    <w:uiPriority w:val="99"/>
    <w:semiHidden/>
    <w:rsid w:val="003A4C5D"/>
    <w:pPr>
      <w:tabs>
        <w:tab w:val="center" w:pos="4513"/>
        <w:tab w:val="right" w:pos="9026"/>
      </w:tabs>
    </w:pPr>
  </w:style>
  <w:style w:type="character" w:customStyle="1" w:styleId="FooterChar">
    <w:name w:val="Footer Char"/>
    <w:link w:val="Footer"/>
    <w:uiPriority w:val="99"/>
    <w:semiHidden/>
    <w:locked/>
    <w:rsid w:val="00A3088F"/>
    <w:rPr>
      <w:rFonts w:ascii="Arial" w:hAnsi="Arial" w:cs="Arial"/>
    </w:rPr>
  </w:style>
  <w:style w:type="paragraph" w:styleId="BalloonText">
    <w:name w:val="Balloon Text"/>
    <w:basedOn w:val="Normal"/>
    <w:link w:val="BalloonTextChar"/>
    <w:uiPriority w:val="99"/>
    <w:semiHidden/>
    <w:rsid w:val="003A4C5D"/>
    <w:rPr>
      <w:rFonts w:cs="Tahoma"/>
      <w:sz w:val="16"/>
      <w:szCs w:val="16"/>
    </w:rPr>
  </w:style>
  <w:style w:type="character" w:customStyle="1" w:styleId="BalloonTextChar">
    <w:name w:val="Balloon Text Char"/>
    <w:link w:val="BalloonText"/>
    <w:uiPriority w:val="99"/>
    <w:semiHidden/>
    <w:locked/>
    <w:rsid w:val="00A3088F"/>
    <w:rPr>
      <w:rFonts w:ascii="Tahoma" w:hAnsi="Tahoma" w:cs="Tahoma"/>
      <w:sz w:val="16"/>
      <w:szCs w:val="16"/>
    </w:rPr>
  </w:style>
  <w:style w:type="character" w:styleId="Hyperlink">
    <w:name w:val="Hyperlink"/>
    <w:uiPriority w:val="99"/>
    <w:unhideWhenUsed/>
    <w:rsid w:val="00007D46"/>
    <w:rPr>
      <w:strike w:val="0"/>
      <w:dstrike w:val="0"/>
      <w:color w:val="000000"/>
      <w:u w:val="none"/>
      <w:effect w:val="none"/>
    </w:rPr>
  </w:style>
  <w:style w:type="character" w:customStyle="1" w:styleId="Heading1Char">
    <w:name w:val="Heading 1 Char"/>
    <w:link w:val="Heading1"/>
    <w:rsid w:val="00054863"/>
    <w:rPr>
      <w:rFonts w:ascii="Arial" w:eastAsia="Times New Roman" w:hAnsi="Arial"/>
      <w:b/>
      <w:szCs w:val="20"/>
      <w:lang w:eastAsia="en-US"/>
    </w:rPr>
  </w:style>
  <w:style w:type="paragraph" w:styleId="BodyText">
    <w:name w:val="Body Text"/>
    <w:basedOn w:val="Normal"/>
    <w:link w:val="BodyTextChar"/>
    <w:rsid w:val="00054863"/>
    <w:pPr>
      <w:jc w:val="both"/>
    </w:pPr>
    <w:rPr>
      <w:rFonts w:ascii="Arial" w:eastAsia="Times New Roman" w:hAnsi="Arial" w:cs="Times New Roman"/>
    </w:rPr>
  </w:style>
  <w:style w:type="character" w:customStyle="1" w:styleId="BodyTextChar">
    <w:name w:val="Body Text Char"/>
    <w:link w:val="BodyText"/>
    <w:rsid w:val="00054863"/>
    <w:rPr>
      <w:rFonts w:ascii="Arial" w:eastAsia="Times New Roman" w:hAnsi="Arial"/>
      <w:szCs w:val="20"/>
      <w:lang w:eastAsia="en-US"/>
    </w:rPr>
  </w:style>
  <w:style w:type="paragraph" w:styleId="BodyText2">
    <w:name w:val="Body Text 2"/>
    <w:basedOn w:val="Normal"/>
    <w:link w:val="BodyText2Char"/>
    <w:rsid w:val="00054863"/>
    <w:pPr>
      <w:tabs>
        <w:tab w:val="left" w:pos="3119"/>
      </w:tabs>
      <w:jc w:val="both"/>
    </w:pPr>
    <w:rPr>
      <w:rFonts w:ascii="Arial" w:eastAsia="Times New Roman" w:hAnsi="Arial" w:cs="Times New Roman"/>
      <w:sz w:val="20"/>
    </w:rPr>
  </w:style>
  <w:style w:type="character" w:customStyle="1" w:styleId="BodyText2Char">
    <w:name w:val="Body Text 2 Char"/>
    <w:link w:val="BodyText2"/>
    <w:rsid w:val="00054863"/>
    <w:rPr>
      <w:rFonts w:ascii="Arial" w:eastAsia="Times New Roman" w:hAnsi="Arial"/>
      <w:sz w:val="20"/>
      <w:szCs w:val="20"/>
      <w:lang w:eastAsia="en-US"/>
    </w:rPr>
  </w:style>
  <w:style w:type="paragraph" w:styleId="NormalWeb">
    <w:name w:val="Normal (Web)"/>
    <w:basedOn w:val="Normal"/>
    <w:uiPriority w:val="99"/>
    <w:rsid w:val="00054863"/>
    <w:pPr>
      <w:spacing w:before="100" w:beforeAutospacing="1" w:after="100" w:afterAutospacing="1"/>
    </w:pPr>
    <w:rPr>
      <w:rFonts w:ascii="Times New Roman" w:eastAsia="Times New Roman" w:hAnsi="Times New Roman" w:cs="Times New Roman"/>
      <w:sz w:val="24"/>
      <w:szCs w:val="24"/>
      <w:lang w:val="en-US"/>
    </w:rPr>
  </w:style>
  <w:style w:type="character" w:styleId="Mention">
    <w:name w:val="Mention"/>
    <w:uiPriority w:val="99"/>
    <w:semiHidden/>
    <w:unhideWhenUsed/>
    <w:rsid w:val="00AD048C"/>
    <w:rPr>
      <w:color w:val="2B579A"/>
      <w:shd w:val="clear" w:color="auto" w:fill="E6E6E6"/>
    </w:rPr>
  </w:style>
  <w:style w:type="character" w:styleId="UnresolvedMention">
    <w:name w:val="Unresolved Mention"/>
    <w:uiPriority w:val="99"/>
    <w:semiHidden/>
    <w:unhideWhenUsed/>
    <w:rsid w:val="00B922A7"/>
    <w:rPr>
      <w:color w:val="808080"/>
      <w:shd w:val="clear" w:color="auto" w:fill="E6E6E6"/>
    </w:rPr>
  </w:style>
  <w:style w:type="table" w:customStyle="1" w:styleId="TableGrid1">
    <w:name w:val="Table Grid1"/>
    <w:basedOn w:val="TableNormal"/>
    <w:next w:val="TableGrid"/>
    <w:uiPriority w:val="59"/>
    <w:rsid w:val="00CF00A7"/>
    <w:rPr>
      <w:rFonts w:ascii="Arial" w:eastAsia="Times New Roman"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unhideWhenUsed/>
    <w:rsid w:val="00025D3F"/>
  </w:style>
  <w:style w:type="character" w:styleId="FollowedHyperlink">
    <w:name w:val="FollowedHyperlink"/>
    <w:basedOn w:val="DefaultParagraphFont"/>
    <w:semiHidden/>
    <w:unhideWhenUsed/>
    <w:rsid w:val="0031033E"/>
    <w:rPr>
      <w:color w:val="800080" w:themeColor="followedHyperlink"/>
      <w:u w:val="single"/>
    </w:rPr>
  </w:style>
  <w:style w:type="paragraph" w:styleId="ListParagraph">
    <w:name w:val="List Paragraph"/>
    <w:basedOn w:val="Normal"/>
    <w:uiPriority w:val="34"/>
    <w:qFormat/>
    <w:rsid w:val="0092590E"/>
    <w:pPr>
      <w:ind w:left="720"/>
      <w:contextualSpacing/>
    </w:pPr>
    <w:rPr>
      <w:rFonts w:ascii="Calibri" w:eastAsiaTheme="minorHAns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815862">
      <w:bodyDiv w:val="1"/>
      <w:marLeft w:val="0"/>
      <w:marRight w:val="0"/>
      <w:marTop w:val="0"/>
      <w:marBottom w:val="0"/>
      <w:divBdr>
        <w:top w:val="none" w:sz="0" w:space="0" w:color="auto"/>
        <w:left w:val="none" w:sz="0" w:space="0" w:color="auto"/>
        <w:bottom w:val="none" w:sz="0" w:space="0" w:color="auto"/>
        <w:right w:val="none" w:sz="0" w:space="0" w:color="auto"/>
      </w:divBdr>
    </w:div>
    <w:div w:id="858591204">
      <w:bodyDiv w:val="1"/>
      <w:marLeft w:val="0"/>
      <w:marRight w:val="0"/>
      <w:marTop w:val="0"/>
      <w:marBottom w:val="0"/>
      <w:divBdr>
        <w:top w:val="none" w:sz="0" w:space="0" w:color="auto"/>
        <w:left w:val="none" w:sz="0" w:space="0" w:color="auto"/>
        <w:bottom w:val="none" w:sz="0" w:space="0" w:color="auto"/>
        <w:right w:val="none" w:sz="0" w:space="0" w:color="auto"/>
      </w:divBdr>
    </w:div>
    <w:div w:id="869756131">
      <w:bodyDiv w:val="1"/>
      <w:marLeft w:val="0"/>
      <w:marRight w:val="0"/>
      <w:marTop w:val="0"/>
      <w:marBottom w:val="0"/>
      <w:divBdr>
        <w:top w:val="none" w:sz="0" w:space="0" w:color="auto"/>
        <w:left w:val="none" w:sz="0" w:space="0" w:color="auto"/>
        <w:bottom w:val="none" w:sz="0" w:space="0" w:color="auto"/>
        <w:right w:val="none" w:sz="0" w:space="0" w:color="auto"/>
      </w:divBdr>
    </w:div>
    <w:div w:id="1293710095">
      <w:bodyDiv w:val="1"/>
      <w:marLeft w:val="0"/>
      <w:marRight w:val="0"/>
      <w:marTop w:val="0"/>
      <w:marBottom w:val="0"/>
      <w:divBdr>
        <w:top w:val="none" w:sz="0" w:space="0" w:color="auto"/>
        <w:left w:val="none" w:sz="0" w:space="0" w:color="auto"/>
        <w:bottom w:val="none" w:sz="0" w:space="0" w:color="auto"/>
        <w:right w:val="none" w:sz="0" w:space="0" w:color="auto"/>
      </w:divBdr>
    </w:div>
    <w:div w:id="144422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rah.cabella@rochester.anglican.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arah.cabella@rochester.anglican.org" TargetMode="External"/><Relationship Id="rId4" Type="http://schemas.openxmlformats.org/officeDocument/2006/relationships/settings" Target="settings.xml"/><Relationship Id="rId9" Type="http://schemas.openxmlformats.org/officeDocument/2006/relationships/hyperlink" Target="https://www.rochester.anglican.org/under18s/children-and-young-people-cyp-fund/"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y.Mackenzie\AppData\Local\Temp\Temp1_NEW%20Template%20Documents_FINAL%2028JAN.zip\NEW%20Template%20Documents_FINAL%2028JAN\Diocese%20of%20Rochester%20Letterhead%20Colo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9E872-9A55-0E41-87B2-B34ACCD28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Diocese of Rochester Letterhead Colour.dotx</Template>
  <TotalTime>13</TotalTime>
  <Pages>4</Pages>
  <Words>1141</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Letterhead</vt:lpstr>
    </vt:vector>
  </TitlesOfParts>
  <Company>Diocese of Rochester</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Lindy Mackenzie</dc:creator>
  <cp:keywords>Letter</cp:keywords>
  <dc:description>v1.0</dc:description>
  <cp:lastModifiedBy>Sarah Cabella</cp:lastModifiedBy>
  <cp:revision>5</cp:revision>
  <cp:lastPrinted>2021-03-23T15:45:00Z</cp:lastPrinted>
  <dcterms:created xsi:type="dcterms:W3CDTF">2021-07-07T11:40:00Z</dcterms:created>
  <dcterms:modified xsi:type="dcterms:W3CDTF">2022-02-02T10:11:00Z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Diocese of Rochester</vt:lpwstr>
  </property>
  <property fmtid="{D5CDD505-2E9C-101B-9397-08002B2CF9AE}" pid="3" name="Language">
    <vt:lpwstr>English (UK)</vt:lpwstr>
  </property>
  <property fmtid="{D5CDD505-2E9C-101B-9397-08002B2CF9AE}" pid="4" name="Owner">
    <vt:lpwstr>P L Kessler</vt:lpwstr>
  </property>
  <property fmtid="{D5CDD505-2E9C-101B-9397-08002B2CF9AE}" pid="5" name="Project">
    <vt:lpwstr>We Are Tangerine</vt:lpwstr>
  </property>
  <property fmtid="{D5CDD505-2E9C-101B-9397-08002B2CF9AE}" pid="6" name="Publisher">
    <vt:lpwstr>Kessler Associates</vt:lpwstr>
  </property>
</Properties>
</file>